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0B9D">
      <w:pPr>
        <w:pStyle w:val="a3"/>
        <w:divId w:val="505100651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05100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30379294</w:t>
            </w:r>
          </w:p>
        </w:tc>
        <w:tc>
          <w:tcPr>
            <w:tcW w:w="0" w:type="auto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</w:p>
        </w:tc>
      </w:tr>
      <w:tr w:rsidR="00000000">
        <w:trPr>
          <w:divId w:val="505100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</w:p>
        </w:tc>
      </w:tr>
      <w:tr w:rsidR="00000000">
        <w:trPr>
          <w:divId w:val="505100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30002676</w:t>
            </w:r>
          </w:p>
        </w:tc>
        <w:tc>
          <w:tcPr>
            <w:tcW w:w="0" w:type="auto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</w:p>
        </w:tc>
      </w:tr>
      <w:tr w:rsidR="00000000">
        <w:trPr>
          <w:divId w:val="505100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5100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70B9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0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366215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70B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70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366215X4053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E70B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76"/>
        <w:gridCol w:w="6543"/>
        <w:gridCol w:w="146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70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«Аптечная сеть 36,6»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1550114705</w:t>
            </w:r>
            <w:r>
              <w:rPr>
                <w:rFonts w:eastAsia="Times New Roman"/>
              </w:rPr>
              <w:br/>
              <w:t>Против: 435139557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Увеличить уставный капитал ПАО «Аптечная сеть 36,6» путем размещения дополнительных обыкновенных именных бездокументарных акций в пределах количества объявленных акций на следующих условиях: Вид, категория (тип): обыкновенные именные бездокументарные акции</w:t>
            </w:r>
            <w:r>
              <w:rPr>
                <w:rFonts w:eastAsia="Times New Roman"/>
              </w:rPr>
              <w:t>. Количество дополнительных акций: 6 000 000 000 (Шесть миллиардов) штук, что составляет более 25 процентов ранее размещенных обыкновенных акций. Номинальная стоимость 1 (одной) дополнительной акции: 0,64 (Ноль целых шестьдесят четыре сотых) рубля. Общая н</w:t>
            </w:r>
            <w:r>
              <w:rPr>
                <w:rFonts w:eastAsia="Times New Roman"/>
              </w:rPr>
              <w:t>оминальная стоимость дополнительных акций: 3 840 000 000 (Три миллиарда восемьсот сорок миллионов) рублей. Способ размещения дополнительных акций: открытая подписка. Цена размещения дополнительных акций: цена размещения дополнительных акций (в том числе це</w:t>
            </w:r>
            <w:r>
              <w:rPr>
                <w:rFonts w:eastAsia="Times New Roman"/>
              </w:rPr>
              <w:t xml:space="preserve">на размещения дополнительных акций лицам, осуществляющим преимущественное право приобретения акций) будет определена решением Совета директоров Общества после государственной регистрации дополнительного выпуска ценных бумаг, но не поздн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1550114705</w:t>
            </w:r>
            <w:r>
              <w:rPr>
                <w:rFonts w:eastAsia="Times New Roman"/>
              </w:rPr>
              <w:br/>
              <w:t>Против: 435139557</w:t>
            </w:r>
            <w:r>
              <w:rPr>
                <w:rFonts w:eastAsia="Times New Roman"/>
              </w:rPr>
              <w:br/>
              <w:t>Воздержался: 30000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E70B9D">
      <w:pPr>
        <w:rPr>
          <w:rFonts w:eastAsia="Times New Roman"/>
        </w:rPr>
      </w:pPr>
    </w:p>
    <w:p w:rsidR="00000000" w:rsidRDefault="00E70B9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70B9D">
      <w:pPr>
        <w:pStyle w:val="a3"/>
      </w:pPr>
      <w:r>
        <w:t>4.10. Информац</w:t>
      </w:r>
      <w:r>
        <w:t>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E70B9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</w:t>
      </w:r>
      <w:r>
        <w:t xml:space="preserve">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70B9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70B9D" w:rsidRDefault="00E70B9D">
      <w:pPr>
        <w:pStyle w:val="HTML"/>
      </w:pPr>
      <w:r>
        <w:t>По всем вопросам, связанным с настоящим сообщением, Вы можете обращаться к В</w:t>
      </w:r>
      <w:r>
        <w:t>ашим персональным менеджерам по телефонам: (495) 956-27-90, (495) 956-27-91/ For details please contact your account  manager (495) 956-27-90, (495) 956-27-91</w:t>
      </w:r>
    </w:p>
    <w:sectPr w:rsidR="00E7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93F5D"/>
    <w:rsid w:val="00793F5D"/>
    <w:rsid w:val="00E7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0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2a94007a6534430a72be979c3ab0d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2018-10-04T06:39:00Z</dcterms:created>
  <dcterms:modified xsi:type="dcterms:W3CDTF">2018-10-04T06:39:00Z</dcterms:modified>
</cp:coreProperties>
</file>