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6EC9">
      <w:pPr>
        <w:pStyle w:val="a3"/>
        <w:divId w:val="12755580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5558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36653453</w:t>
            </w:r>
          </w:p>
        </w:tc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</w:p>
        </w:tc>
      </w:tr>
      <w:tr w:rsidR="00000000">
        <w:trPr>
          <w:divId w:val="1275558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</w:p>
        </w:tc>
      </w:tr>
      <w:tr w:rsidR="00000000">
        <w:trPr>
          <w:divId w:val="1275558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36337777</w:t>
            </w:r>
          </w:p>
        </w:tc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</w:p>
        </w:tc>
      </w:tr>
      <w:tr w:rsidR="00000000">
        <w:trPr>
          <w:divId w:val="1275558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5558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6EC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2019 г.</w:t>
            </w:r>
          </w:p>
        </w:tc>
      </w:tr>
    </w:tbl>
    <w:p w:rsidR="00000000" w:rsidRDefault="00D46E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840"/>
        <w:gridCol w:w="1840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</w:t>
            </w:r>
            <w:r>
              <w:rPr>
                <w:rFonts w:eastAsia="Times New Roman"/>
              </w:rPr>
              <w:t>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46E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46E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E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E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</w:tr>
    </w:tbl>
    <w:p w:rsidR="00000000" w:rsidRDefault="00D46EC9">
      <w:pPr>
        <w:rPr>
          <w:rFonts w:eastAsia="Times New Roman"/>
        </w:rPr>
      </w:pPr>
    </w:p>
    <w:p w:rsidR="00000000" w:rsidRDefault="00D46EC9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46EC9">
      <w:pPr>
        <w:pStyle w:val="a3"/>
      </w:pPr>
      <w:r>
        <w:t>12.6. Об исполнении эмитентом обязанности по выплате денежных средств для погашения, частичн</w:t>
      </w:r>
      <w:r>
        <w:t xml:space="preserve">ого погашения облигаций и (или) выплаты процентного (купонного) дохода по облигациям. </w:t>
      </w:r>
    </w:p>
    <w:p w:rsidR="00000000" w:rsidRDefault="00D46E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D46EC9" w:rsidRDefault="00D46EC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sectPr w:rsidR="00D4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6D60"/>
    <w:rsid w:val="00D16D60"/>
    <w:rsid w:val="00D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4D7E65-A48A-466F-B923-B520B2C0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255734dbb241da95d0bf554ed112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2019-11-11T09:09:00Z</dcterms:created>
  <dcterms:modified xsi:type="dcterms:W3CDTF">2019-11-11T09:09:00Z</dcterms:modified>
</cp:coreProperties>
</file>