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1222">
      <w:pPr>
        <w:pStyle w:val="a3"/>
        <w:divId w:val="29163684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1636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95971543</w:t>
            </w:r>
          </w:p>
        </w:tc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</w:tr>
      <w:tr w:rsidR="00000000">
        <w:trPr>
          <w:divId w:val="291636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</w:tr>
      <w:tr w:rsidR="00000000">
        <w:trPr>
          <w:divId w:val="291636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94838741</w:t>
            </w:r>
          </w:p>
        </w:tc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</w:tr>
      <w:tr w:rsidR="00000000">
        <w:trPr>
          <w:divId w:val="291636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1636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1222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914707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F12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914707X7059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F12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</w:tr>
    </w:tbl>
    <w:p w:rsidR="00000000" w:rsidRDefault="007F12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08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F1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2023 год. </w:t>
            </w:r>
            <w:r>
              <w:rPr>
                <w:rFonts w:eastAsia="Times New Roman"/>
              </w:rPr>
              <w:t>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1245363360225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6646413</w:t>
            </w:r>
            <w:r>
              <w:rPr>
                <w:rFonts w:eastAsia="Times New Roman"/>
              </w:rPr>
              <w:br/>
              <w:t>Воздержался: 123395507</w:t>
            </w:r>
            <w:r>
              <w:rPr>
                <w:rFonts w:eastAsia="Times New Roman"/>
              </w:rPr>
              <w:br/>
              <w:t>Не участвовало: 3020746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2023 год.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1245329024495</w:t>
            </w:r>
            <w:r>
              <w:rPr>
                <w:rFonts w:eastAsia="Times New Roman"/>
              </w:rPr>
              <w:br/>
              <w:t>Против: 6649716</w:t>
            </w:r>
            <w:r>
              <w:rPr>
                <w:rFonts w:eastAsia="Times New Roman"/>
              </w:rPr>
              <w:br/>
              <w:t>Воздержался: 158084953</w:t>
            </w:r>
            <w:r>
              <w:rPr>
                <w:rFonts w:eastAsia="Times New Roman"/>
              </w:rPr>
              <w:br/>
              <w:t>Не участвовало: 2663727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Общества: 1) по результатам 2023 отчетного года в сумме 1 532 200 616,99 руб.: - на формирование резервного фонда - 67 897 280,45 руб. - на выплату дивидендов –1 464 303 336,54 руб. 2) по итогам пр</w:t>
            </w:r>
            <w:r>
              <w:rPr>
                <w:rFonts w:eastAsia="Times New Roman"/>
              </w:rPr>
              <w:t>ошлых периодов: - на выплату дивидендов - 285 696 663,46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1245400986932</w:t>
            </w:r>
            <w:r>
              <w:rPr>
                <w:rFonts w:eastAsia="Times New Roman"/>
              </w:rPr>
              <w:br/>
              <w:t>Против: 8280961</w:t>
            </w:r>
            <w:r>
              <w:rPr>
                <w:rFonts w:eastAsia="Times New Roman"/>
              </w:rPr>
              <w:br/>
              <w:t>Воздержался: 84507118</w:t>
            </w:r>
            <w:r>
              <w:rPr>
                <w:rFonts w:eastAsia="Times New Roman"/>
              </w:rPr>
              <w:br/>
              <w:t>Не участвовало: 2647880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Общества: 1) по результатам 2</w:t>
            </w:r>
            <w:r>
              <w:rPr>
                <w:rFonts w:eastAsia="Times New Roman"/>
              </w:rPr>
              <w:t>023 года в размере 0,00107832252390093 руб. на одну обыкновенную акцию Общества в денежной форме за счет чистой прибыли 1 464 303 336,54 руб.; 2) в размере 0,000210388885639098 руб. на одну обыкновенную акцию в денежной форме за счёт части нераспределенной</w:t>
            </w:r>
            <w:r>
              <w:rPr>
                <w:rFonts w:eastAsia="Times New Roman"/>
              </w:rPr>
              <w:t xml:space="preserve"> прибыли прошлых периодов, что совокупно по всем обыкновенным акциям Общества составляет 285 696 663,46 руб. Суммы начисленных дивидендов в расчете на одного акционера Общества определяются с точностью до одной копейки. Округление цифр при расчете производ</w:t>
            </w:r>
            <w:r>
              <w:rPr>
                <w:rFonts w:eastAsia="Times New Roman"/>
              </w:rPr>
              <w:t>ится по правилам математического округления. Определить 04 июня 2024 года в качестве даты, на которую определяются лица, имеющие право на получение дивидендов...полная формулировка решения содержится в файле "Бюллетень".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1245483066193</w:t>
            </w:r>
            <w:r>
              <w:rPr>
                <w:rFonts w:eastAsia="Times New Roman"/>
              </w:rPr>
              <w:br/>
              <w:t>Пр</w:t>
            </w:r>
            <w:r>
              <w:rPr>
                <w:rFonts w:eastAsia="Times New Roman"/>
              </w:rPr>
              <w:t>отив: 7836227</w:t>
            </w:r>
            <w:r>
              <w:rPr>
                <w:rFonts w:eastAsia="Times New Roman"/>
              </w:rPr>
              <w:br/>
              <w:t>Воздержался: 2917810</w:t>
            </w:r>
            <w:r>
              <w:rPr>
                <w:rFonts w:eastAsia="Times New Roman"/>
              </w:rPr>
              <w:br/>
              <w:t>Не участвовало: 2602661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Совета директоров Общества дополнительное вознаграждение за 2023 год по итогам работы Общества в соответствии с п. 3.2. Положения о выплате членам </w:t>
            </w:r>
            <w:r>
              <w:rPr>
                <w:rFonts w:eastAsia="Times New Roman"/>
              </w:rPr>
              <w:t>Совета директоров Общества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1245226220039</w:t>
            </w:r>
            <w:r>
              <w:rPr>
                <w:rFonts w:eastAsia="Times New Roman"/>
              </w:rPr>
              <w:br/>
              <w:t>Против: 55851722</w:t>
            </w:r>
            <w:r>
              <w:rPr>
                <w:rFonts w:eastAsia="Times New Roman"/>
              </w:rPr>
              <w:br/>
              <w:t>Воздержался: 211702255</w:t>
            </w:r>
            <w:r>
              <w:rPr>
                <w:rFonts w:eastAsia="Times New Roman"/>
              </w:rPr>
              <w:br/>
              <w:t>Не участвовало: 2648875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</w:t>
            </w:r>
            <w:r>
              <w:rPr>
                <w:rFonts w:eastAsia="Times New Roman"/>
              </w:rPr>
              <w:t xml:space="preserve">дении ревизионной проверки финансово-хозяйственной деятельности </w:t>
            </w:r>
            <w:r>
              <w:rPr>
                <w:rFonts w:eastAsia="Times New Roman"/>
              </w:rPr>
              <w:lastRenderedPageBreak/>
              <w:t>Общества за 2023г., вознаграждения и компенсации в соответствии с Положением о выплате членам Ревизионной комиссии ПАО «ТГК-14»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1245111264320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</w:t>
            </w:r>
            <w:r>
              <w:rPr>
                <w:rFonts w:eastAsia="Times New Roman"/>
              </w:rPr>
              <w:t>ротив: 27250229</w:t>
            </w:r>
            <w:r>
              <w:rPr>
                <w:rFonts w:eastAsia="Times New Roman"/>
              </w:rPr>
              <w:br/>
              <w:t>Воздержался: 355257554</w:t>
            </w:r>
            <w:r>
              <w:rPr>
                <w:rFonts w:eastAsia="Times New Roman"/>
              </w:rPr>
              <w:br/>
              <w:t>Не участвовало: 2650788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на 2024 год: Акционерное общество «Кэпт» (сокращенное наименование: АО «Кэпт»), адрес (место нахождения): 123112, г. Москва, набере</w:t>
            </w:r>
            <w:r>
              <w:rPr>
                <w:rFonts w:eastAsia="Times New Roman"/>
              </w:rPr>
              <w:t>жная Пресненская, дом 10, Блок «С», ИНН 7702019950, ОГРН 1027700125628, дата регистрации: 25.05.1992.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1244620073662</w:t>
            </w:r>
            <w:r>
              <w:rPr>
                <w:rFonts w:eastAsia="Times New Roman"/>
              </w:rPr>
              <w:br/>
              <w:t>Против: 16642665</w:t>
            </w:r>
            <w:r>
              <w:rPr>
                <w:rFonts w:eastAsia="Times New Roman"/>
              </w:rPr>
              <w:br/>
              <w:t>Воздержался: 857057689</w:t>
            </w:r>
            <w:r>
              <w:rPr>
                <w:rFonts w:eastAsia="Times New Roman"/>
              </w:rPr>
              <w:br/>
              <w:t>Не участвовало: 2648875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</w:t>
            </w:r>
            <w:r>
              <w:rPr>
                <w:rFonts w:eastAsia="Times New Roman"/>
              </w:rPr>
              <w:t>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13696917131040</w:t>
            </w:r>
            <w:r>
              <w:rPr>
                <w:rFonts w:eastAsia="Times New Roman"/>
              </w:rPr>
              <w:br/>
              <w:t>Против: 163193789</w:t>
            </w:r>
            <w:r>
              <w:rPr>
                <w:rFonts w:eastAsia="Times New Roman"/>
              </w:rPr>
              <w:br/>
              <w:t>Воздержался: 2844551501</w:t>
            </w:r>
            <w:r>
              <w:rPr>
                <w:rFonts w:eastAsia="Times New Roman"/>
              </w:rPr>
              <w:br/>
              <w:t>Не участвовало: 535775471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- Президент АО «Дальневосточная управляющая компания»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1244490317057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 - Генеральный директор АО «Дальневосточная управляющая компания»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1244835998796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Николаенко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1244488593242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Сенкевич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1244485676473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Кириченко Елена Владимировна - Директор по корпоративной работе АО «Дальневосточная управляющая компания»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1244516460915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 Александр Юрьевич - Исполнительный директор ООО ВТБ Инфраструктурный холдинг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1244497835725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 Юрий Анатольевич - Генеральный директор ООО «Технопарк БиоНова», Генеральный директор ООО «Руссеквелле»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1245050915715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1245047112388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Владимир Андреевич - Генеральный директор ООО «РискТЭКонсалт»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1248993469723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Бессмертный Константин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1244641181252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Рыбаков Евгений Сергеевич - Исполнительный директор – главный инженер ПАО «ТГК-14»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1245869569754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Общества: - Савченко Анна Эдуардовна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Общества: - Гурулева Анна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Общества: - Шебарова Екатерина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Общества: - Лопухов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Общества: - Петрухина Анна Геннадиевна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выпла</w:t>
            </w:r>
            <w:r>
              <w:rPr>
                <w:rFonts w:eastAsia="Times New Roman"/>
              </w:rPr>
              <w:t>те членам совета директоров вознаграждений и компенсаций» в новой редакции.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1245273528485</w:t>
            </w:r>
            <w:r>
              <w:rPr>
                <w:rFonts w:eastAsia="Times New Roman"/>
              </w:rPr>
              <w:br/>
              <w:t>Против: 49642095</w:t>
            </w:r>
            <w:r>
              <w:rPr>
                <w:rFonts w:eastAsia="Times New Roman"/>
              </w:rPr>
              <w:br/>
              <w:t>Воздержался: 170433335</w:t>
            </w:r>
            <w:r>
              <w:rPr>
                <w:rFonts w:eastAsia="Times New Roman"/>
              </w:rPr>
              <w:br/>
              <w:t>Не участвовало: 2818976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Одобрить заключение Соглашения № 29-23 от 28.04.2023 и дополнительного соглашения № 1 от 18.03.2024 к нему, как сделки, в совершении которой имеется заинтересованность. Стороны сделки: «Поручитель» – Публичное акционерное общество «Территориал</w:t>
            </w:r>
            <w:r>
              <w:rPr>
                <w:rFonts w:eastAsia="Times New Roman"/>
              </w:rPr>
              <w:t>ьная генерирующая компания № 14» (ПАО «ТГК-14»); «Должник» – Акционерное общество «Дальневосточная управляющая компания» (АО «ДУК»). Предмет Соглашения № 29-23 от 28.04.2023:...полная формулировка решения содержится в файле "Бюллетень".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1652750492</w:t>
            </w:r>
            <w:r>
              <w:rPr>
                <w:rFonts w:eastAsia="Times New Roman"/>
              </w:rPr>
              <w:br/>
              <w:t>Против: 72127680</w:t>
            </w:r>
            <w:r>
              <w:rPr>
                <w:rFonts w:eastAsia="Times New Roman"/>
              </w:rPr>
              <w:br/>
              <w:t>Воздержался: 217041461</w:t>
            </w:r>
            <w:r>
              <w:rPr>
                <w:rFonts w:eastAsia="Times New Roman"/>
              </w:rPr>
              <w:br/>
              <w:t>Не участвовало: 2729650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Дать согласие на заключение Соглашения к Договору о залоге ценных бумаг от 29.04.2022 </w:t>
            </w:r>
            <w:r>
              <w:rPr>
                <w:rFonts w:eastAsia="Times New Roman"/>
              </w:rPr>
              <w:t>№ АД-8/0432-21-2-0, между ПАО «ТГК-14» и АО «ДУК», как сделки в совершении которой имеется заинтересованность, на следующих существенных условиях: Стороны Соглашения: «Залогодержатель» или «Кредитор» – Публичное акционерное общество «Территориальная генери</w:t>
            </w:r>
            <w:r>
              <w:rPr>
                <w:rFonts w:eastAsia="Times New Roman"/>
              </w:rPr>
              <w:t>рующая компания № 14» (ПАО «ТГК-14»); «Залогодатель» – Акционерное общество «Дальневосточная управляющая компания» (АО «ДУК»)...полная формулировка решения содержится в файле "Бюллетень".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1444956588</w:t>
            </w:r>
            <w:r>
              <w:rPr>
                <w:rFonts w:eastAsia="Times New Roman"/>
              </w:rPr>
              <w:br/>
              <w:t>Против: 78940526</w:t>
            </w:r>
            <w:r>
              <w:rPr>
                <w:rFonts w:eastAsia="Times New Roman"/>
              </w:rPr>
              <w:br/>
              <w:t>Воздержался: 41799532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Не участвовало: 2756847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конкурентном отборе мощности новых генерирующих объектов (КОМ НГО), как крупной сделки, на следующих существенных условиях: 1. По результатам конкурса определяются проекты, в</w:t>
            </w:r>
            <w:r>
              <w:rPr>
                <w:rFonts w:eastAsia="Times New Roman"/>
              </w:rPr>
              <w:t xml:space="preserve"> отношении которых на оптовом рынке электроэнергии и мощности заключаются договоры купли-продажи мощности по результатам конкурентного отбора мощности новых генерирующих объектов (далее – договоры КОМ НГО). В указанных договорах Общество выступает как Прод</w:t>
            </w:r>
            <w:r>
              <w:rPr>
                <w:rFonts w:eastAsia="Times New Roman"/>
              </w:rPr>
              <w:t>авец (поставщик мощности), а иные субъекты оптового рынка как Покупатели мощности. Заключению договоров КОМ НГО планируется в апреле-мае 2024 г. В настоящее время контрагенты не определены...полная формулировка решения содержится в файле "Бюллетень".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1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1245415293615</w:t>
            </w:r>
            <w:r>
              <w:rPr>
                <w:rFonts w:eastAsia="Times New Roman"/>
              </w:rPr>
              <w:br/>
              <w:t>Против: 5949270</w:t>
            </w:r>
            <w:r>
              <w:rPr>
                <w:rFonts w:eastAsia="Times New Roman"/>
              </w:rPr>
              <w:br/>
              <w:t>Воздержался: 71978119</w:t>
            </w:r>
            <w:r>
              <w:rPr>
                <w:rFonts w:eastAsia="Times New Roman"/>
              </w:rPr>
              <w:br/>
              <w:t>Не участвовало: 3201887</w:t>
            </w:r>
          </w:p>
        </w:tc>
      </w:tr>
    </w:tbl>
    <w:p w:rsidR="00000000" w:rsidRDefault="007F1222">
      <w:pPr>
        <w:rPr>
          <w:rFonts w:eastAsia="Times New Roman"/>
        </w:rPr>
      </w:pPr>
    </w:p>
    <w:p w:rsidR="00000000" w:rsidRDefault="007F12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>и"</w:t>
      </w:r>
    </w:p>
    <w:p w:rsidR="00000000" w:rsidRDefault="007F1222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7F1222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F12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F12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7F1222">
      <w:pPr>
        <w:rPr>
          <w:rFonts w:eastAsia="Times New Roman"/>
        </w:rPr>
      </w:pPr>
      <w:r>
        <w:rPr>
          <w:rFonts w:eastAsia="Times New Roman"/>
        </w:rPr>
        <w:br/>
      </w:r>
    </w:p>
    <w:p w:rsidR="007F1222" w:rsidRDefault="007F1222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7F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6067"/>
    <w:rsid w:val="007F1222"/>
    <w:rsid w:val="00F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451FC6-D681-42C0-A7C1-ED847168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82b2873bda40ba8988fc00fd6c5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2024-05-28T05:56:00Z</dcterms:created>
  <dcterms:modified xsi:type="dcterms:W3CDTF">2024-05-28T05:56:00Z</dcterms:modified>
</cp:coreProperties>
</file>