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A7B">
      <w:pPr>
        <w:pStyle w:val="a3"/>
        <w:divId w:val="178018140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0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25534251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</w:p>
        </w:tc>
      </w:tr>
      <w:tr w:rsidR="00000000">
        <w:trPr>
          <w:divId w:val="1780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</w:p>
        </w:tc>
      </w:tr>
      <w:tr w:rsidR="00000000">
        <w:trPr>
          <w:divId w:val="1780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25430876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</w:p>
        </w:tc>
      </w:tr>
      <w:tr w:rsidR="00000000">
        <w:trPr>
          <w:divId w:val="1780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0181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4A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4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34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</w:t>
            </w:r>
          </w:p>
        </w:tc>
      </w:tr>
    </w:tbl>
    <w:p w:rsidR="00000000" w:rsidRDefault="00734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34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2"/>
        <w:gridCol w:w="75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9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по результатам 9 месяцев 2017 года: а) по привилегированным акциям в размере 2778% к номинальной стоимости акции; б) по об</w:t>
            </w:r>
            <w:r>
              <w:rPr>
                <w:rFonts w:eastAsia="Times New Roman"/>
              </w:rPr>
              <w:t xml:space="preserve">ыкновенным акциям в размере 2778% к номинальной стоимости акции. Установить 23 декабря 2017 года как дату, на которую определяются лица, имеющие право на полу-чение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734A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4A7B">
      <w:pPr>
        <w:rPr>
          <w:rFonts w:eastAsia="Times New Roman"/>
        </w:rPr>
      </w:pPr>
    </w:p>
    <w:p w:rsidR="00000000" w:rsidRDefault="00734A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34A7B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9 месяцев 2017 года. </w:t>
      </w:r>
    </w:p>
    <w:p w:rsidR="00000000" w:rsidRDefault="00734A7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000000" w:rsidRDefault="00734A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734A7B" w:rsidRDefault="00734A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3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7CD6"/>
    <w:rsid w:val="00734A7B"/>
    <w:rsid w:val="0095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125246a2154eb3843486fb76e22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2017-11-20T06:15:00Z</dcterms:created>
  <dcterms:modified xsi:type="dcterms:W3CDTF">2017-11-20T06:15:00Z</dcterms:modified>
</cp:coreProperties>
</file>