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04FB">
      <w:pPr>
        <w:pStyle w:val="a3"/>
        <w:divId w:val="27414367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4143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37376681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</w:p>
        </w:tc>
      </w:tr>
      <w:tr w:rsidR="00000000">
        <w:trPr>
          <w:divId w:val="274143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</w:p>
        </w:tc>
      </w:tr>
      <w:tr w:rsidR="00000000">
        <w:trPr>
          <w:divId w:val="274143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37187261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</w:p>
        </w:tc>
      </w:tr>
      <w:tr w:rsidR="00000000">
        <w:trPr>
          <w:divId w:val="274143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143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04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0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</w:t>
            </w:r>
            <w:r>
              <w:rPr>
                <w:rFonts w:eastAsia="Times New Roman"/>
              </w:rPr>
              <w:t>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10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</w:tbl>
    <w:p w:rsidR="00000000" w:rsidRDefault="00810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8104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4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</w:t>
            </w:r>
            <w:r>
              <w:rPr>
                <w:rFonts w:eastAsia="Times New Roman"/>
              </w:rPr>
              <w:t>ым акциям Общества из чистой прибыли Общества по результатам 9 месяцев 2019 года в размере 0,0032 рубля на одну обыкновенную акцию в денежной форме. 2. Сумма начисленных дивидендов из расчета на одного акционера Общества определяется с точностью до одной к</w:t>
            </w:r>
            <w:r>
              <w:rPr>
                <w:rFonts w:eastAsia="Times New Roman"/>
              </w:rPr>
              <w:t>опейки. Округление числа при расчете производится по правилам математического округления. 3.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</w:t>
            </w:r>
            <w:r>
              <w:rPr>
                <w:rFonts w:eastAsia="Times New Roman"/>
              </w:rPr>
              <w:t>чих дней, другим зарегистрированным в реестре акционерам – 25 рабочих дней с даты составления списка лиц, имеющих право на получение дивидендов. 4. Определить дату составления списка лиц, имеющих право на получение дивидендов, – 14 день с даты принятия реш</w:t>
            </w:r>
            <w:r>
              <w:rPr>
                <w:rFonts w:eastAsia="Times New Roman"/>
              </w:rPr>
              <w:t xml:space="preserve">ения внеочередным общим собранием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4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104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04FB">
      <w:pPr>
        <w:rPr>
          <w:rFonts w:eastAsia="Times New Roman"/>
        </w:rPr>
      </w:pPr>
    </w:p>
    <w:p w:rsidR="00000000" w:rsidRDefault="008104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04FB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</w:t>
      </w:r>
      <w:r>
        <w:rPr>
          <w:rFonts w:eastAsia="Times New Roman"/>
        </w:rPr>
        <w:t xml:space="preserve">определяются лица, имеющие право на получение дивидендов. </w:t>
      </w:r>
    </w:p>
    <w:p w:rsidR="00000000" w:rsidRDefault="008104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04FB">
      <w:pPr>
        <w:pStyle w:val="a3"/>
      </w:pPr>
      <w:r>
        <w:lastRenderedPageBreak/>
        <w:t>4.2. Информация о созыве общего с</w:t>
      </w:r>
      <w:r>
        <w:t>обрания акционеров эмитента.</w:t>
      </w:r>
    </w:p>
    <w:p w:rsidR="00000000" w:rsidRDefault="008104F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104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04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8104FB" w:rsidRDefault="008104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8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768"/>
    <w:rsid w:val="005C2768"/>
    <w:rsid w:val="008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1D238-933E-4F2C-ADDD-0018A464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924a79974435686105489ab7247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2019-12-19T04:03:00Z</dcterms:created>
  <dcterms:modified xsi:type="dcterms:W3CDTF">2019-12-19T04:03:00Z</dcterms:modified>
</cp:coreProperties>
</file>