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47DC">
      <w:pPr>
        <w:pStyle w:val="a3"/>
        <w:divId w:val="4802011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020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31080445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</w:p>
        </w:tc>
      </w:tr>
      <w:tr w:rsidR="00000000">
        <w:trPr>
          <w:divId w:val="48020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</w:p>
        </w:tc>
      </w:tr>
      <w:tr w:rsidR="00000000">
        <w:trPr>
          <w:divId w:val="48020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31033214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</w:p>
        </w:tc>
      </w:tr>
      <w:tr w:rsidR="00000000">
        <w:trPr>
          <w:divId w:val="48020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20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47D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91"/>
        <w:gridCol w:w="52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34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19"/>
        <w:gridCol w:w="1135"/>
        <w:gridCol w:w="1135"/>
        <w:gridCol w:w="720"/>
        <w:gridCol w:w="1046"/>
        <w:gridCol w:w="1046"/>
        <w:gridCol w:w="946"/>
        <w:gridCol w:w="916"/>
        <w:gridCol w:w="68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209577X12940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4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2"/>
        <w:gridCol w:w="57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1000.51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10.1 решения о выпуске облигаций Эмитент обязан обеспечить право владельцев Биржевых облигаций требовать от Эмитента приобретения Биржевых облигаций в течение последних 5 (Пяти) рабочих дней купон</w:t>
            </w:r>
            <w:r>
              <w:rPr>
                <w:rFonts w:eastAsia="Times New Roman"/>
              </w:rPr>
              <w:t>ного периода, предшествующего купонному периоду,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</w:t>
            </w:r>
            <w:r>
              <w:rPr>
                <w:rFonts w:eastAsia="Times New Roman"/>
              </w:rPr>
              <w:t>полномоченного органа по регулированию, контролю и надзору в сфере финансовых рынков в установленном им порядке (далее – «Период предъявления Биржевых облигаций к приобретению Эмитентом»). Владельцы Биржевых облигаций имеют право требовать от Эмитента прио</w:t>
            </w:r>
            <w:r>
              <w:rPr>
                <w:rFonts w:eastAsia="Times New Roman"/>
              </w:rPr>
              <w:t>бретения Биржевых облигаций в случаях, описанных в п. 9.3.1 Решения о выпуске ценных бумаг и п. 9.1.2 Проспекта ценных бумаг. Порядок определения накопленного купонного дохода по Биржевым облигациям: &lt;br/&gt;НКД = Cj * Nom * (T - T(j -1))/ 365/ 100%,&lt;br/&gt;где&lt;</w:t>
            </w:r>
            <w:r>
              <w:rPr>
                <w:rFonts w:eastAsia="Times New Roman"/>
              </w:rPr>
              <w:t xml:space="preserve">br/&gt;j - порядковый номер купонного периода, j=1, 2, 3...6;&lt;br/&gt;НКД – накопленный купонный доход, в рублях;&lt;br/&gt;Nom – непогашенная часть номинальной стоимости одной Биржевой облигации, в рублях;&lt;br/&gt;C j - размер процентной ставки j-того купона, в процентах </w:t>
            </w:r>
            <w:r>
              <w:rPr>
                <w:rFonts w:eastAsia="Times New Roman"/>
              </w:rPr>
              <w:t>годовых;&lt;br/&gt;T(j -1) - дата начала j-того купонного периода (для случая первого купонного периода Т (j-1) – это дата начала размещения Биржевых облигаций);&lt;br/&gt;T - дата расчета накопленного купонного дохода внутри j –купонного периода.&lt;br/&gt;Величина накопле</w:t>
            </w:r>
            <w:r>
              <w:rPr>
                <w:rFonts w:eastAsia="Times New Roman"/>
              </w:rPr>
              <w:t>нного купонного дохода рассчитывается с точностью до одной копейки. (Округление производится по правилам математического округления. При этом под правилом математического округления следует понимать метод округления, при котором значение целой копейки (цел</w:t>
            </w:r>
            <w:r>
              <w:rPr>
                <w:rFonts w:eastAsia="Times New Roman"/>
              </w:rPr>
              <w:t>ых копеек) не изменяется, если первая за округляемой цифра равна от 0 до 4, и изменяется, увеличиваясь на единицу, если первая за округляемой цифра равна 5 - 9).&lt;br/&gt;Дата прекращения у владельцев права требования досрочного приобретения облигаций: 26.11.20</w:t>
            </w: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ноября 2018 г. по 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Капитал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Фактическое количество приобретенных/погашенных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7088</w:t>
            </w:r>
          </w:p>
        </w:tc>
      </w:tr>
    </w:tbl>
    <w:p w:rsidR="00000000" w:rsidRDefault="00534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08"/>
        <w:gridCol w:w="78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http://www.e-disclosure.ru/portal/event.aspx?EventId=N9NmeoOvaECgelT6xaLvwA-B-B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DC">
            <w:pPr>
              <w:rPr>
                <w:rFonts w:eastAsia="Times New Roman"/>
              </w:rPr>
            </w:pPr>
          </w:p>
        </w:tc>
      </w:tr>
    </w:tbl>
    <w:p w:rsidR="00000000" w:rsidRDefault="005347DC">
      <w:pPr>
        <w:rPr>
          <w:rFonts w:eastAsia="Times New Roman"/>
        </w:rPr>
      </w:pPr>
    </w:p>
    <w:p w:rsidR="00000000" w:rsidRDefault="005347D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47DC">
      <w:pPr>
        <w:pStyle w:val="a3"/>
      </w:pPr>
      <w:r>
        <w:t>13.6. Об исполнении обязанности по выплате денежных средств для досрочного погашения или при</w:t>
      </w:r>
      <w:r>
        <w:t>обретения облигаций их эмитентом.</w:t>
      </w:r>
    </w:p>
    <w:p w:rsidR="00000000" w:rsidRDefault="005347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47DC" w:rsidRDefault="005347DC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3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4AF9"/>
    <w:rsid w:val="005347DC"/>
    <w:rsid w:val="00A5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c77640cc664c46847e4a2342722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2018-11-30T06:24:00Z</dcterms:created>
  <dcterms:modified xsi:type="dcterms:W3CDTF">2018-11-30T06:24:00Z</dcterms:modified>
</cp:coreProperties>
</file>