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2BAF">
      <w:pPr>
        <w:pStyle w:val="a3"/>
        <w:divId w:val="2056850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685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66030411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</w:p>
        </w:tc>
      </w:tr>
      <w:tr w:rsidR="00000000">
        <w:trPr>
          <w:divId w:val="205685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</w:p>
        </w:tc>
      </w:tr>
      <w:tr w:rsidR="00000000">
        <w:trPr>
          <w:divId w:val="205685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685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2BA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699782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</w:tbl>
    <w:p w:rsidR="00000000" w:rsidRDefault="003B2BA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699782X14654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B2BAF">
      <w:pPr>
        <w:rPr>
          <w:rFonts w:eastAsia="Times New Roman"/>
        </w:rPr>
      </w:pPr>
    </w:p>
    <w:p w:rsidR="00000000" w:rsidRDefault="003B2BAF">
      <w:pPr>
        <w:pStyle w:val="a3"/>
      </w:pPr>
      <w:r>
        <w:t>Наблюдательный совет АК «АЛРОСА» (ПАО) принял решение об определении 20 мая 2022 года датой, до которой от акционеров АК «АЛРОСА» (ПАО) принимаются предложения о внесении вопросов в повестку дня годового Общего собрания акционеров АК «АЛРОСА» (ПАО) по итог</w:t>
      </w:r>
      <w:r>
        <w:t xml:space="preserve">ам 2021 года и предложения о выдвижении кандидатов для избрания в Наблюдательный совет и Ревизионную комиссию АК «АЛРОСА» (ПАО) на годовом Общем собрании акционеров АК «АЛРОСА» (ПАО) по итогам 2021 года. </w:t>
      </w:r>
    </w:p>
    <w:p w:rsidR="00000000" w:rsidRDefault="003B2B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2BAF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3B2BAF">
      <w:pPr>
        <w:rPr>
          <w:rFonts w:eastAsia="Times New Roman"/>
        </w:rPr>
      </w:pPr>
      <w:r>
        <w:rPr>
          <w:rFonts w:eastAsia="Times New Roman"/>
        </w:rPr>
        <w:br/>
      </w:r>
    </w:p>
    <w:p w:rsidR="003B2BAF" w:rsidRDefault="003B2BA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3B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21E"/>
    <w:rsid w:val="003B2BAF"/>
    <w:rsid w:val="00B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2B901B-BA07-47CB-B787-AC2D579B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699188950491ca0232c52417dbb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2022-05-11T11:52:00Z</dcterms:created>
  <dcterms:modified xsi:type="dcterms:W3CDTF">2022-05-11T11:52:00Z</dcterms:modified>
</cp:coreProperties>
</file>