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2F26">
      <w:pPr>
        <w:pStyle w:val="a3"/>
        <w:divId w:val="111158760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11587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29817537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</w:p>
        </w:tc>
      </w:tr>
      <w:tr w:rsidR="00000000">
        <w:trPr>
          <w:divId w:val="1111587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</w:p>
        </w:tc>
      </w:tr>
      <w:tr w:rsidR="00000000">
        <w:trPr>
          <w:divId w:val="1111587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29668606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</w:p>
        </w:tc>
      </w:tr>
      <w:tr w:rsidR="00000000">
        <w:trPr>
          <w:divId w:val="1111587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1587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2F2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62F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364062X8211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62F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364359</w:t>
            </w:r>
          </w:p>
        </w:tc>
      </w:tr>
    </w:tbl>
    <w:p w:rsidR="00000000" w:rsidRDefault="00162F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62F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ПАО «ГМК «Норильский никель» по результатам полугодия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2F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обыкновенным именным акциям ПАО «ГМК «Норильский никель» по результатам полугодия 2018 года денежными средствами в размере 776,02 рублей на одну обыкновенную акцию. 2. Установить в качестве даты, на которую определяются лица, имею</w:t>
            </w:r>
            <w:r>
              <w:rPr>
                <w:rFonts w:eastAsia="Times New Roman"/>
              </w:rPr>
              <w:t xml:space="preserve">щие право на получение дивидендов, 1 октября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62F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62F26">
      <w:pPr>
        <w:rPr>
          <w:rFonts w:eastAsia="Times New Roman"/>
        </w:rPr>
      </w:pPr>
    </w:p>
    <w:p w:rsidR="00000000" w:rsidRDefault="00162F2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62F26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полугодия 2018 года. </w:t>
      </w:r>
    </w:p>
    <w:p w:rsidR="00000000" w:rsidRDefault="00162F2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62F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62F26" w:rsidRDefault="00162F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16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92729"/>
    <w:rsid w:val="00162F26"/>
    <w:rsid w:val="0099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3e329d04ba4255a033e13ef671b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2018-08-28T05:05:00Z</dcterms:created>
  <dcterms:modified xsi:type="dcterms:W3CDTF">2018-08-28T05:05:00Z</dcterms:modified>
</cp:coreProperties>
</file>