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2CC">
      <w:pPr>
        <w:pStyle w:val="a3"/>
        <w:divId w:val="35326545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3265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25291638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</w:p>
        </w:tc>
      </w:tr>
      <w:tr w:rsidR="00000000">
        <w:trPr>
          <w:divId w:val="353265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</w:p>
        </w:tc>
      </w:tr>
      <w:tr w:rsidR="00000000">
        <w:trPr>
          <w:divId w:val="353265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25271939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</w:p>
        </w:tc>
      </w:tr>
      <w:tr w:rsidR="00000000">
        <w:trPr>
          <w:divId w:val="353265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32654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2C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B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B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</w:tbl>
    <w:p w:rsidR="00000000" w:rsidRDefault="00AB22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C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AB22CC">
      <w:pPr>
        <w:rPr>
          <w:rFonts w:eastAsia="Times New Roman"/>
        </w:rPr>
      </w:pPr>
    </w:p>
    <w:p w:rsidR="00000000" w:rsidRDefault="00AB22C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22CC">
      <w:pPr>
        <w:rPr>
          <w:rFonts w:eastAsia="Times New Roman"/>
        </w:rPr>
      </w:pPr>
      <w:r>
        <w:rPr>
          <w:rFonts w:eastAsia="Times New Roman"/>
        </w:rPr>
        <w:t xml:space="preserve">1. О размере, сроках и форме выплаты дивидендов по результатам 9 месяцев 2017 года. </w:t>
      </w:r>
    </w:p>
    <w:p w:rsidR="00000000" w:rsidRDefault="00AB22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</w:t>
      </w:r>
      <w:r>
        <w:t>общение о проведении общего собрания акционеров эмитента (Положение 546-П от 01.06.2016).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</w:t>
      </w:r>
      <w:r>
        <w:t xml:space="preserve">ние 546-П от 01.06.2016). </w:t>
      </w:r>
    </w:p>
    <w:p w:rsidR="00000000" w:rsidRDefault="00AB22CC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</w:t>
      </w:r>
      <w:r>
        <w:t xml:space="preserve">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B22CC" w:rsidRDefault="00AB22C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 manager (495) 956-27-90, (495) 956-27-91</w:t>
      </w:r>
    </w:p>
    <w:sectPr w:rsidR="00AB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A56F5"/>
    <w:rsid w:val="004A56F5"/>
    <w:rsid w:val="00A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2017-10-31T09:40:00Z</dcterms:created>
  <dcterms:modified xsi:type="dcterms:W3CDTF">2017-10-31T09:40:00Z</dcterms:modified>
</cp:coreProperties>
</file>