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26CC">
      <w:pPr>
        <w:pStyle w:val="a3"/>
        <w:divId w:val="25336229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33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67317367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</w:tr>
      <w:tr w:rsidR="00000000">
        <w:trPr>
          <w:divId w:val="2533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</w:tr>
      <w:tr w:rsidR="00000000">
        <w:trPr>
          <w:divId w:val="2533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67140082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</w:tr>
      <w:tr w:rsidR="00000000">
        <w:trPr>
          <w:divId w:val="2533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3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26C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26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026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</w:tr>
    </w:tbl>
    <w:p w:rsidR="00000000" w:rsidRDefault="007026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7026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и годовой бухгалтерской (финансовой) отчетности ПАО «Лензолото»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и годовую бухгалтерскую (финансовую) отчетность ПАО «Лензолото»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«Лензолото», в том числе о выплате (объявлении) дивидендов по акциям ПАО «Лензолото»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 средств чистой прибыли ПАО «Лензолото», полученной по итогам 2021 года в</w:t>
            </w:r>
            <w:r>
              <w:rPr>
                <w:rFonts w:eastAsia="Times New Roman"/>
              </w:rPr>
              <w:t xml:space="preserve"> размере 26 605 232,26 рублей объявить дивиденды по итогам 2021 года в денежной форме в сумме 1 839 333 рубля, в том числе: 1.1. 5,29 руб. на 1 (Одну) привилегированную акцию ПАО «Лензолото»; 1.2. Дивиденды по обыкновенным акциям ПАО «Лензолото» по итогам </w:t>
            </w:r>
            <w:r>
              <w:rPr>
                <w:rFonts w:eastAsia="Times New Roman"/>
              </w:rPr>
              <w:t xml:space="preserve">2021 года не объявлять и не выплачивать; 1.3. Оставшуюся часть прибыли по результатам 2021 года не распределять. 2. Установить 13 июля 2022 года датой составления списка лиц, имеющих право на получение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«Лензолото»: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Бухарова Николая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Востокова Алексея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Андрея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Семьянских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Полина Владимира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Стискина Михаила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Сурвилло Владимира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Кривицкую Юлию Алексеевну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Иванова Антона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Рогову Анну Сергеевну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6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«Лензолото» на 2022 год ООО «ФинЭкспертиза».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6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026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026CC">
      <w:pPr>
        <w:rPr>
          <w:rFonts w:eastAsia="Times New Roman"/>
        </w:rPr>
      </w:pPr>
    </w:p>
    <w:p w:rsidR="00000000" w:rsidRDefault="007026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26CC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Об утверждении годового отчета и годовой бухгалтерской (финансовой) отчетности ПАО «Лензолото» за 2021 год. 2. О распределении </w:t>
      </w:r>
      <w:r>
        <w:rPr>
          <w:rFonts w:eastAsia="Times New Roman"/>
        </w:rPr>
        <w:t>прибыли и убытков ПАО «Лензолото», в том числе о выплате (объявлении) дивидендов по акциям ПАО «Лензолото» за 2021 год. 3. Об избрании членов Совета директоров ПАО «Лензолото». 4. Об избрании членов Ревизионной комиссии ПАО «Лензолото». 5. Об утверждении а</w:t>
      </w:r>
      <w:r>
        <w:rPr>
          <w:rFonts w:eastAsia="Times New Roman"/>
        </w:rPr>
        <w:t xml:space="preserve">удитора ПАО «Лензолото». </w:t>
      </w:r>
    </w:p>
    <w:p w:rsidR="00000000" w:rsidRDefault="007026C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026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26C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p w:rsidR="00000000" w:rsidRDefault="007026CC">
      <w:pPr>
        <w:rPr>
          <w:rFonts w:eastAsia="Times New Roman"/>
        </w:rPr>
      </w:pPr>
      <w:r>
        <w:rPr>
          <w:rFonts w:eastAsia="Times New Roman"/>
        </w:rPr>
        <w:br/>
      </w:r>
    </w:p>
    <w:p w:rsidR="007026CC" w:rsidRDefault="007026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</w:t>
      </w:r>
      <w:r>
        <w:t>ся непосредственно в электронном документе.</w:t>
      </w:r>
    </w:p>
    <w:sectPr w:rsidR="0070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6DEF"/>
    <w:rsid w:val="007026CC"/>
    <w:rsid w:val="007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4C2EB-7595-4F6F-A0BB-AA3DFCE4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588dd7b9f4aff9c32e2591e374e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2022-06-10T05:09:00Z</dcterms:created>
  <dcterms:modified xsi:type="dcterms:W3CDTF">2022-06-10T05:09:00Z</dcterms:modified>
</cp:coreProperties>
</file>