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1FD5">
      <w:pPr>
        <w:pStyle w:val="a3"/>
        <w:divId w:val="189426582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94265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30865795</w:t>
            </w:r>
          </w:p>
        </w:tc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</w:p>
        </w:tc>
      </w:tr>
      <w:tr w:rsidR="00000000">
        <w:trPr>
          <w:divId w:val="1894265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</w:p>
        </w:tc>
      </w:tr>
      <w:tr w:rsidR="00000000">
        <w:trPr>
          <w:divId w:val="1894265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30526540</w:t>
            </w:r>
          </w:p>
        </w:tc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</w:p>
        </w:tc>
      </w:tr>
      <w:tr w:rsidR="00000000">
        <w:trPr>
          <w:divId w:val="1894265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4265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1FD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373055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01F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1100"/>
        <w:gridCol w:w="1281"/>
        <w:gridCol w:w="1281"/>
        <w:gridCol w:w="1064"/>
        <w:gridCol w:w="1143"/>
        <w:gridCol w:w="1143"/>
        <w:gridCol w:w="139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373055X9860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01F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378772</w:t>
            </w:r>
          </w:p>
        </w:tc>
      </w:tr>
    </w:tbl>
    <w:p w:rsidR="00000000" w:rsidRDefault="00601F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01F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Реорганизовать Публичное акционерное общество «Московская объединенная энергетическая компания» (сокращенное фирменное </w:t>
            </w:r>
            <w:r>
              <w:rPr>
                <w:rFonts w:eastAsia="Times New Roman"/>
              </w:rPr>
              <w:t>наименование ПАО «МОЭК»; зарегистрировано и внесено в Единый государственный реестр юридических лиц Межрайонной инспекцией МНС России №46 по г. Москве 16.12.2004 за ОГРН 1047796974092; ИНН 7720518494; КПП 772901001; адрес (место нахождения): 119526, г. Мос</w:t>
            </w:r>
            <w:r>
              <w:rPr>
                <w:rFonts w:eastAsia="Times New Roman"/>
              </w:rPr>
              <w:t>ква, проспект Вернадского, дом 101, корпус 3, эт. 20, каб. 2017) в форме присоединения к нему Общества с ограниченной ответственностью «ТСК Новая Москва» (сокращенное фирменное наименование ООО «ТСК Новая Москва»); зарегистрировано и внесено в Единый госуд</w:t>
            </w:r>
            <w:r>
              <w:rPr>
                <w:rFonts w:eastAsia="Times New Roman"/>
              </w:rPr>
              <w:t>арственный реестр юридических лиц Межрайонной инспекцией Федеральной налоговой службы № 10 по Московской области 09.04.2012 за ОГРН 1125034001058; ИНН 5034043820; КПП 772901001; адрес (место нахождения): 119619, г. Москва, ул. Терёшково, д. 3) на условиях,</w:t>
            </w:r>
            <w:r>
              <w:rPr>
                <w:rFonts w:eastAsia="Times New Roman"/>
              </w:rPr>
              <w:t xml:space="preserve"> предусмотренных Договором о присоединении Общества с ограниченной ответственн... (Полный текст содержится в файле Решение 1.1.docx).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219854549</w:t>
            </w:r>
            <w:r>
              <w:rPr>
                <w:rFonts w:eastAsia="Times New Roman"/>
              </w:rPr>
              <w:br/>
              <w:t>Против: 585</w:t>
            </w:r>
            <w:r>
              <w:rPr>
                <w:rFonts w:eastAsia="Times New Roman"/>
              </w:rPr>
              <w:br/>
              <w:t>Воздержался: 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Увеличить уставный кап</w:t>
            </w:r>
            <w:r>
              <w:rPr>
                <w:rFonts w:eastAsia="Times New Roman"/>
              </w:rPr>
              <w:t>итал ПАО «МОЭК» путем размещения дополнительных обыкновенных именных бездокументарных акций в количестве 6 850 000 (Шесть миллионов восемьсот пятьдесят тысяч) штук номинальной стоимостью 100 (Сто) рублей каждая на общую сумму по номинальной стоимости 685 0</w:t>
            </w:r>
            <w:r>
              <w:rPr>
                <w:rFonts w:eastAsia="Times New Roman"/>
              </w:rPr>
              <w:t xml:space="preserve">00 000 (Шестьсот восемьдесят пять миллионов) рублей. 2.2. Способ размещения дополнительных акций: закрытая подписка. 2.3. Круг лиц, среди которых предполагается осуществить размещение дополнительных акций: Общество с ограниченной ответственностью «Газпром </w:t>
            </w:r>
            <w:r>
              <w:rPr>
                <w:rFonts w:eastAsia="Times New Roman"/>
              </w:rPr>
              <w:t>энергохолдинг», адрес (место нахождения): 197198, город Санкт-Петербург, проспект Добролюбова, дом 16, корпус 2 Лит А, помещение 11; ОГРН: 1037739465004. 2.4. Цена размещения дополнительных обыкновенных именных акций ПАО «МОЭК» (в том числе лицам, включенн</w:t>
            </w:r>
            <w:r>
              <w:rPr>
                <w:rFonts w:eastAsia="Times New Roman"/>
              </w:rPr>
              <w:t xml:space="preserve">ым в список лиц, имеющих преимущественное право приобретения размещаемых дополнительных акций): 185 (Сто восемьдесят пять) рублей за одну обыкновенную именную акцию. 2.5. Форм... (Полный текст содержится в файле Решение 2.1.docx).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F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219854053</w:t>
            </w:r>
            <w:r>
              <w:rPr>
                <w:rFonts w:eastAsia="Times New Roman"/>
              </w:rPr>
              <w:br/>
              <w:t>Против: 477</w:t>
            </w:r>
            <w:r>
              <w:rPr>
                <w:rFonts w:eastAsia="Times New Roman"/>
              </w:rPr>
              <w:br/>
              <w:t>Воздержался: 1060</w:t>
            </w:r>
          </w:p>
        </w:tc>
      </w:tr>
    </w:tbl>
    <w:p w:rsidR="00000000" w:rsidRDefault="00601FD5">
      <w:pPr>
        <w:rPr>
          <w:rFonts w:eastAsia="Times New Roman"/>
        </w:rPr>
      </w:pPr>
    </w:p>
    <w:p w:rsidR="00000000" w:rsidRDefault="00601FD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</w:t>
      </w:r>
      <w:r>
        <w:t xml:space="preserve">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01FD5">
      <w:pPr>
        <w:pStyle w:val="a3"/>
      </w:pPr>
      <w:r>
        <w:t xml:space="preserve">4.10. Информация о решениях, принятых общим </w:t>
      </w:r>
      <w:r>
        <w:t>собранием акционеров, а также об итогах голосования на общем собрании акционеров.</w:t>
      </w:r>
    </w:p>
    <w:p w:rsidR="00000000" w:rsidRDefault="00601FD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</w:t>
      </w:r>
      <w:r>
        <w:t>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01F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01FD5" w:rsidRDefault="00601F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 manager (495) 956-27-90, (495) 956-27-91</w:t>
      </w:r>
    </w:p>
    <w:sectPr w:rsidR="0060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E37BC"/>
    <w:rsid w:val="002E37BC"/>
    <w:rsid w:val="0060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3d9f435ffb4e18a9037532efd66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2018-11-14T05:32:00Z</dcterms:created>
  <dcterms:modified xsi:type="dcterms:W3CDTF">2018-11-14T05:32:00Z</dcterms:modified>
</cp:coreProperties>
</file>