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7272">
      <w:pPr>
        <w:pStyle w:val="a3"/>
        <w:divId w:val="13023421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234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77578175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</w:p>
        </w:tc>
      </w:tr>
      <w:tr w:rsidR="00000000">
        <w:trPr>
          <w:divId w:val="130234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</w:p>
        </w:tc>
      </w:tr>
      <w:tr w:rsidR="00000000">
        <w:trPr>
          <w:divId w:val="130234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76683466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</w:p>
        </w:tc>
      </w:tr>
      <w:tr w:rsidR="00000000">
        <w:trPr>
          <w:divId w:val="130234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234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727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72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B72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6523"/>
        <w:gridCol w:w="101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B7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решения:См. доп. информацию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7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0B7272">
      <w:pPr>
        <w:rPr>
          <w:rFonts w:eastAsia="Times New Roman"/>
        </w:rPr>
      </w:pPr>
    </w:p>
    <w:p w:rsidR="00000000" w:rsidRDefault="000B7272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0B7272">
      <w:pPr>
        <w:pStyle w:val="a3"/>
      </w:pPr>
      <w:r>
        <w:t>Электронная форма бюллетеней для голосования может быть заполнена в срок по 24 апреля 2023 года включительно в информационно-телекоммуникационной сети «Интернет» на сайте w</w:t>
      </w:r>
      <w:r>
        <w:t>ww.vtbreg.ru, а также электронное голосование доступно в мобильном приложении для акционеров.</w:t>
      </w:r>
    </w:p>
    <w:p w:rsidR="00000000" w:rsidRDefault="000B72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0B72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0B7272">
      <w:pPr>
        <w:rPr>
          <w:rFonts w:eastAsia="Times New Roman"/>
        </w:rPr>
      </w:pPr>
      <w:r>
        <w:rPr>
          <w:rFonts w:eastAsia="Times New Roman"/>
        </w:rPr>
        <w:br/>
      </w:r>
    </w:p>
    <w:p w:rsidR="000B7272" w:rsidRDefault="000B72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794B"/>
    <w:rsid w:val="000B7272"/>
    <w:rsid w:val="008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F2BC74-33CA-42F8-8F6C-72C8CEE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cc6a9aca548e483bd234863d08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2023-04-25T11:32:00Z</dcterms:created>
  <dcterms:modified xsi:type="dcterms:W3CDTF">2023-04-25T11:32:00Z</dcterms:modified>
</cp:coreProperties>
</file>