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2F0D">
      <w:pPr>
        <w:pStyle w:val="a3"/>
        <w:divId w:val="18200697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006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34488821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</w:tr>
      <w:tr w:rsidR="00000000">
        <w:trPr>
          <w:divId w:val="182006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</w:tr>
      <w:tr w:rsidR="00000000">
        <w:trPr>
          <w:divId w:val="182006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34028169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</w:tr>
      <w:tr w:rsidR="00000000">
        <w:trPr>
          <w:divId w:val="182006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06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2F0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2F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F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</w:tbl>
    <w:p w:rsidR="00000000" w:rsidRDefault="002F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>Выплатить дивиденды по привилегированным именным бездокументарным акциям в размере 18 рублей 21 копейка на одну акцию. Установить дату составления списка лиц, имеющих право на получение дивидендов по привилегированным именным бездокументарным акциям – 18 и</w:t>
            </w:r>
            <w:r>
              <w:rPr>
                <w:rFonts w:eastAsia="Times New Roman"/>
              </w:rPr>
              <w:t>юля 2019г.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выплату дивидендов по размещен</w:t>
            </w:r>
            <w:r>
              <w:rPr>
                <w:rFonts w:eastAsia="Times New Roman"/>
              </w:rPr>
              <w:t xml:space="preserve">ным привилегированным акциям Общества - 2 526 763 422 рубля 15 копеек; - остаток прибыли прошлых лет в размере 6 062 469 908 рублей 78 копеек - оставить нераспределенным.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231070857</w:t>
            </w:r>
            <w:r>
              <w:rPr>
                <w:rFonts w:eastAsia="Times New Roman"/>
              </w:rPr>
              <w:br/>
              <w:t>Против: 702007</w:t>
            </w:r>
            <w:r>
              <w:rPr>
                <w:rFonts w:eastAsia="Times New Roman"/>
              </w:rPr>
              <w:br/>
              <w:t>Воздержался: 896739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 1. Зюзин Игорь Владимирович 2. Коржов Олег Викторович 3. Шохин Александр Николаевич 4. Орищин Александр Дмитриевич 5. Малышев Юрий Николаевич 6. Коцкий Александр Николаевич</w:t>
            </w:r>
            <w:r>
              <w:rPr>
                <w:rFonts w:eastAsia="Times New Roman"/>
              </w:rPr>
              <w:t xml:space="preserve"> 7. Петров Георгий Георгиевич 8. Хачатуров Тигран Гарикович 9. Тригубко Виктор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20615490</w:t>
            </w:r>
            <w:r>
              <w:rPr>
                <w:rFonts w:eastAsia="Times New Roman"/>
              </w:rPr>
              <w:br/>
              <w:t>Воздержался: 575487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287785458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288654905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227948809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227375698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226196827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201888927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221240502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192225393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192436491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</w:t>
            </w:r>
            <w:r>
              <w:rPr>
                <w:rFonts w:eastAsia="Times New Roman"/>
              </w:rPr>
              <w:t>ечел»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229206546</w:t>
            </w:r>
            <w:r>
              <w:rPr>
                <w:rFonts w:eastAsia="Times New Roman"/>
              </w:rPr>
              <w:br/>
              <w:t>Против: 81899</w:t>
            </w:r>
            <w:r>
              <w:rPr>
                <w:rFonts w:eastAsia="Times New Roman"/>
              </w:rPr>
              <w:br/>
              <w:t>Воздержался: 2631158</w:t>
            </w:r>
          </w:p>
        </w:tc>
      </w:tr>
    </w:tbl>
    <w:p w:rsidR="00000000" w:rsidRDefault="002F2F0D">
      <w:pPr>
        <w:rPr>
          <w:rFonts w:eastAsia="Times New Roman"/>
        </w:rPr>
      </w:pPr>
    </w:p>
    <w:p w:rsidR="00000000" w:rsidRDefault="002F2F0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F2F0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F2F0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2F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2F2F0D" w:rsidRDefault="002F2F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2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0D1"/>
    <w:rsid w:val="002F2F0D"/>
    <w:rsid w:val="008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F1CDE-1B2D-4019-A080-64A8E50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5d4641df5455ca35e1e09c36f0b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2019-07-03T07:39:00Z</dcterms:created>
  <dcterms:modified xsi:type="dcterms:W3CDTF">2019-07-03T07:39:00Z</dcterms:modified>
</cp:coreProperties>
</file>