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405E">
      <w:pPr>
        <w:pStyle w:val="a3"/>
        <w:divId w:val="21197142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971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33446573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</w:p>
        </w:tc>
      </w:tr>
      <w:tr w:rsidR="00000000">
        <w:trPr>
          <w:divId w:val="211971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</w:p>
        </w:tc>
      </w:tr>
      <w:tr w:rsidR="00000000">
        <w:trPr>
          <w:divId w:val="211971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33393943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</w:p>
        </w:tc>
      </w:tr>
      <w:tr w:rsidR="00000000">
        <w:trPr>
          <w:divId w:val="211971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971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405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4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</w:t>
            </w:r>
            <w:r>
              <w:rPr>
                <w:rFonts w:eastAsia="Times New Roman"/>
              </w:rPr>
              <w:t>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34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</w:tbl>
    <w:p w:rsidR="00000000" w:rsidRDefault="00034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162608, Российская Федерация, Вологодская область, город Череповец, </w:t>
            </w:r>
            <w:r>
              <w:rPr>
                <w:rFonts w:eastAsia="Times New Roman"/>
              </w:rPr>
              <w:t>ул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34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0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2019 года в размере 35 рублей 43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</w:t>
            </w:r>
            <w:r>
              <w:rPr>
                <w:rFonts w:eastAsia="Times New Roman"/>
              </w:rPr>
              <w:t xml:space="preserve">е обществом. Определить 18 июня 2019 года датой, на которую определяются лица, имеющие право на получение дивидендов по результатам первого квартала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340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3405E">
      <w:pPr>
        <w:rPr>
          <w:rFonts w:eastAsia="Times New Roman"/>
        </w:rPr>
      </w:pPr>
    </w:p>
    <w:p w:rsidR="00000000" w:rsidRDefault="000340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405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квартала 2019 года. </w:t>
      </w:r>
    </w:p>
    <w:p w:rsidR="00000000" w:rsidRDefault="0003405E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</w:t>
      </w:r>
      <w:r>
        <w:t>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0340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405E" w:rsidRDefault="000340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3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1475"/>
    <w:rsid w:val="0003405E"/>
    <w:rsid w:val="00D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D94AEE-203C-4A87-8F7B-59890369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9660a90dfc4967b9c91871e8546a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2019-05-14T05:57:00Z</dcterms:created>
  <dcterms:modified xsi:type="dcterms:W3CDTF">2019-05-14T05:57:00Z</dcterms:modified>
</cp:coreProperties>
</file>