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24B4">
      <w:pPr>
        <w:pStyle w:val="a3"/>
        <w:divId w:val="1981155964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81155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73018839</w:t>
            </w:r>
          </w:p>
        </w:tc>
        <w:tc>
          <w:tcPr>
            <w:tcW w:w="0" w:type="auto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</w:p>
        </w:tc>
      </w:tr>
      <w:tr w:rsidR="00000000">
        <w:trPr>
          <w:divId w:val="1981155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</w:p>
        </w:tc>
      </w:tr>
      <w:tr w:rsidR="00000000">
        <w:trPr>
          <w:divId w:val="1981155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1155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24B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Об отмене корпоративного действия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747770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C24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747770X4589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BC24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50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 инициативе эмитента</w:t>
            </w:r>
          </w:p>
        </w:tc>
      </w:tr>
    </w:tbl>
    <w:p w:rsidR="00000000" w:rsidRDefault="00BC24B4">
      <w:pPr>
        <w:rPr>
          <w:rFonts w:eastAsia="Times New Roman"/>
        </w:rPr>
      </w:pPr>
    </w:p>
    <w:p w:rsidR="00000000" w:rsidRDefault="00BC24B4">
      <w:pPr>
        <w:pStyle w:val="a3"/>
      </w:pPr>
      <w:r>
        <w:t>В связи с проведением 05 декабря 2022 г. внеочередного Общего собрания акционеров ПАО «ЛУКОЙЛ» в форме заочного голосования (наличием кворума для проведения собрания) Советом директоров ПАО «ЛУКОЙЛ» отменено решение Совета директоров ПАО «ЛУКОЙЛ» от 28 окт</w:t>
      </w:r>
      <w:r>
        <w:t xml:space="preserve">ября 2022 г. «О созыве повторного внеочередного Общего собрания акционеров ПАО «ЛУКОЙЛ». </w:t>
      </w:r>
    </w:p>
    <w:p w:rsidR="00000000" w:rsidRDefault="00BC24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BC24B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BC24B4">
      <w:pPr>
        <w:rPr>
          <w:rFonts w:eastAsia="Times New Roman"/>
        </w:rPr>
      </w:pPr>
      <w:r>
        <w:rPr>
          <w:rFonts w:eastAsia="Times New Roman"/>
        </w:rPr>
        <w:br/>
      </w:r>
    </w:p>
    <w:p w:rsidR="00BC24B4" w:rsidRDefault="00BC24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C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53FC"/>
    <w:rsid w:val="00B653FC"/>
    <w:rsid w:val="00B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972B7E-7869-47A2-829E-52327B58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7e1bb6339848edbada0bd7c9e6ae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2022-12-06T10:11:00Z</dcterms:created>
  <dcterms:modified xsi:type="dcterms:W3CDTF">2022-12-06T10:11:00Z</dcterms:modified>
</cp:coreProperties>
</file>