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4961">
      <w:pPr>
        <w:pStyle w:val="a3"/>
        <w:divId w:val="209757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7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80274679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</w:tr>
      <w:tr w:rsidR="00000000">
        <w:trPr>
          <w:divId w:val="2097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</w:tr>
      <w:tr w:rsidR="00000000">
        <w:trPr>
          <w:divId w:val="2097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79241849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</w:tr>
      <w:tr w:rsidR="00000000">
        <w:trPr>
          <w:divId w:val="2097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75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4961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81095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4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810953X17947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984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</w:tr>
    </w:tbl>
    <w:p w:rsidR="00000000" w:rsidRDefault="009849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49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2022 финансовый год (все формы).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Общества, полученную по результатам 2022 финансового года, в размере 18 702 633,97 (Восемнадцать миллионов семьсот две тысячи шестьсот тридцать три рубля 97 копеек), в следующем порядке: - выплатить дивиденды </w:t>
            </w:r>
            <w:r>
              <w:rPr>
                <w:rFonts w:eastAsia="Times New Roman"/>
              </w:rPr>
              <w:t>по результатам 2022 года в размере 18 620 034,96 (Восемнадцать миллионов шестьсот двадцать тысяч тридцать четыре рубля 96 копеек) из расчета 0,19 (Ноль рублей 19 копеек) на 1 (одну) обыкновенную именную акцию; - оставшуюся сумму прибыли в размере 82 599,01</w:t>
            </w:r>
            <w:r>
              <w:rPr>
                <w:rFonts w:eastAsia="Times New Roman"/>
              </w:rPr>
              <w:t xml:space="preserve"> (Восемьдесят две тысяч пятьсот девяносто девять рублей 01 копейка) оставить нераспределенной. Выплату объявленных Обществом дивидендов осуществить в безналичном порядке: 1) физическим лицам, права которых на акции учитываются в реестре акционеров Общества</w:t>
            </w:r>
            <w:r>
              <w:rPr>
                <w:rFonts w:eastAsia="Times New Roman"/>
              </w:rPr>
              <w:t xml:space="preserve"> –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(полный текст решения см файл Отчет об итогах голосования_П</w:t>
            </w:r>
            <w:r>
              <w:rPr>
                <w:rFonts w:eastAsia="Times New Roman"/>
              </w:rPr>
              <w:t>АО_29.06.2023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результатам первого квартала 2023 года направить на выплату дивидендов из нераспределённой прибыли прошлых лет 601 721 129,76 (Шестьсот один </w:t>
            </w:r>
            <w:r>
              <w:rPr>
                <w:rFonts w:eastAsia="Times New Roman"/>
              </w:rPr>
              <w:t>миллион семьсот двадцать одну тысячу сто двадцать девять рублей 76 копеек) из расчета 6,14 (Шесть рублей 14 копеек) на 1 (одну) обыкновенную именную акцию. Выплату объявленных Обществом дивидендов осуществить в безналичном порядке: 1) физическим лицам, пра</w:t>
            </w:r>
            <w:r>
              <w:rPr>
                <w:rFonts w:eastAsia="Times New Roman"/>
              </w:rPr>
              <w:t>ва которых на акции учитываются в реестре акционеров Общества –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</w:t>
            </w:r>
            <w:r>
              <w:rPr>
                <w:rFonts w:eastAsia="Times New Roman"/>
              </w:rPr>
              <w:t>х средств; 2) лицам, которые имеют право на получение дивидендов и права которых на акции учитываются у номинального держателя акций, получают дивиденды в денежной форме по акциям, через номинального держателя; (полный текст решения см файл Отчет об итогах</w:t>
            </w:r>
            <w:r>
              <w:rPr>
                <w:rFonts w:eastAsia="Times New Roman"/>
              </w:rPr>
              <w:t xml:space="preserve"> голосования_ПАО_29.06.2023)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Петько Олег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Юргенс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– ЮНИКОН АКЦИОНЕРНОЕ ОБЩЕСТВО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4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94585678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84961">
      <w:pPr>
        <w:rPr>
          <w:rFonts w:eastAsia="Times New Roman"/>
        </w:rPr>
      </w:pPr>
    </w:p>
    <w:p w:rsidR="00000000" w:rsidRDefault="00984961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98496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84961">
      <w:pPr>
        <w:pStyle w:val="a3"/>
      </w:pPr>
      <w:r>
        <w:lastRenderedPageBreak/>
        <w:t>Направля</w:t>
      </w:r>
      <w:r>
        <w:t>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849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496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4961">
      <w:pPr>
        <w:rPr>
          <w:rFonts w:eastAsia="Times New Roman"/>
        </w:rPr>
      </w:pPr>
      <w:r>
        <w:rPr>
          <w:rFonts w:eastAsia="Times New Roman"/>
        </w:rPr>
        <w:br/>
      </w:r>
    </w:p>
    <w:p w:rsidR="00984961" w:rsidRDefault="00984961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645F"/>
    <w:rsid w:val="008C645F"/>
    <w:rsid w:val="009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991B72-093C-4041-A1EB-B8C21B0D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3e02e87f004a08bb0ab47b61bc6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2023-07-06T04:27:00Z</dcterms:created>
  <dcterms:modified xsi:type="dcterms:W3CDTF">2023-07-06T04:27:00Z</dcterms:modified>
</cp:coreProperties>
</file>