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4F75">
      <w:pPr>
        <w:pStyle w:val="a3"/>
        <w:divId w:val="37986932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9869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33279112</w:t>
            </w:r>
          </w:p>
        </w:tc>
        <w:tc>
          <w:tcPr>
            <w:tcW w:w="0" w:type="auto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</w:p>
        </w:tc>
      </w:tr>
      <w:tr w:rsidR="00000000">
        <w:trPr>
          <w:divId w:val="379869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</w:p>
        </w:tc>
      </w:tr>
      <w:tr w:rsidR="00000000">
        <w:trPr>
          <w:divId w:val="379869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33176274</w:t>
            </w:r>
          </w:p>
        </w:tc>
        <w:tc>
          <w:tcPr>
            <w:tcW w:w="0" w:type="auto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</w:p>
        </w:tc>
      </w:tr>
      <w:tr w:rsidR="00000000">
        <w:trPr>
          <w:divId w:val="379869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9869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4F7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0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4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410367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117513, Российская Федерация, г. Москва, ул. Академика Опарина, д. 4</w:t>
            </w:r>
          </w:p>
        </w:tc>
      </w:tr>
    </w:tbl>
    <w:p w:rsidR="00000000" w:rsidRDefault="008C4F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840"/>
        <w:gridCol w:w="1840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C4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4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4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4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4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4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4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4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4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410367X6226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C4F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4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4F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4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C4F75">
      <w:pPr>
        <w:rPr>
          <w:rFonts w:eastAsia="Times New Roman"/>
        </w:rPr>
      </w:pPr>
    </w:p>
    <w:p w:rsidR="00000000" w:rsidRDefault="008C4F7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C4F7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отчетности, в том числе о прибылях убытках Общества за 2018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дивидендов) и убытков Общества по результатам 2018 финансового года.</w:t>
      </w:r>
      <w:r>
        <w:rPr>
          <w:rFonts w:eastAsia="Times New Roman"/>
        </w:rPr>
        <w:br/>
        <w:t>3. Об избрании членов Совета директоров.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</w:t>
      </w:r>
      <w:r>
        <w:rPr>
          <w:rFonts w:eastAsia="Times New Roman"/>
        </w:rPr>
        <w:t>а</w:t>
      </w:r>
    </w:p>
    <w:p w:rsidR="008C4F75" w:rsidRDefault="008C4F75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C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1437"/>
    <w:rsid w:val="00261437"/>
    <w:rsid w:val="008C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8348BB-AD58-414C-90F9-3F286DD9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2019-05-06T05:59:00Z</dcterms:created>
  <dcterms:modified xsi:type="dcterms:W3CDTF">2019-05-06T05:59:00Z</dcterms:modified>
</cp:coreProperties>
</file>