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2B7">
      <w:pPr>
        <w:pStyle w:val="a3"/>
        <w:divId w:val="912279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227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64813603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</w:p>
        </w:tc>
      </w:tr>
      <w:tr w:rsidR="00000000">
        <w:trPr>
          <w:divId w:val="91227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</w:p>
        </w:tc>
      </w:tr>
      <w:tr w:rsidR="00000000">
        <w:trPr>
          <w:divId w:val="91227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227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2B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</w:tbl>
    <w:p w:rsidR="00000000" w:rsidRDefault="006F02B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690736X8676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690736X9283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F02B7">
      <w:pPr>
        <w:rPr>
          <w:rFonts w:eastAsia="Times New Roman"/>
        </w:rPr>
      </w:pPr>
    </w:p>
    <w:p w:rsidR="00000000" w:rsidRDefault="006F02B7">
      <w:pPr>
        <w:pStyle w:val="a3"/>
      </w:pPr>
      <w:r>
        <w:t>Акционеры, являющиеся в совокупности владельцами не менее чем 2 процентов голосующих акций ПАО «Юнипро» (далее - Общество), вправе до 03 мая 2022 (включительно) года внести вопросы в повестку дня годового общего собрания акционеров Общества и выдвинуть кан</w:t>
      </w:r>
      <w:r>
        <w:t xml:space="preserve">дидатов в органы управления и контроля Общества. </w:t>
      </w:r>
    </w:p>
    <w:p w:rsidR="00000000" w:rsidRDefault="006F02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6F02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F02B7">
      <w:pPr>
        <w:rPr>
          <w:rFonts w:eastAsia="Times New Roman"/>
        </w:rPr>
      </w:pPr>
      <w:r>
        <w:rPr>
          <w:rFonts w:eastAsia="Times New Roman"/>
        </w:rPr>
        <w:br/>
      </w:r>
    </w:p>
    <w:p w:rsidR="006F02B7" w:rsidRDefault="006F02B7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4222"/>
    <w:rsid w:val="00064222"/>
    <w:rsid w:val="006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FCA45-01E1-4146-A57B-61CD6C8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1264be97e144ec922d8fbb38b05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2022-04-07T12:04:00Z</dcterms:created>
  <dcterms:modified xsi:type="dcterms:W3CDTF">2022-04-07T12:04:00Z</dcterms:modified>
</cp:coreProperties>
</file>