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A2B89">
      <w:pPr>
        <w:pStyle w:val="a3"/>
        <w:divId w:val="145027270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50272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70461724</w:t>
            </w:r>
          </w:p>
        </w:tc>
        <w:tc>
          <w:tcPr>
            <w:tcW w:w="0" w:type="auto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</w:p>
        </w:tc>
      </w:tr>
      <w:tr w:rsidR="00000000">
        <w:trPr>
          <w:divId w:val="1450272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</w:p>
        </w:tc>
      </w:tr>
      <w:tr w:rsidR="00000000">
        <w:trPr>
          <w:divId w:val="1450272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70385713</w:t>
            </w:r>
          </w:p>
        </w:tc>
        <w:tc>
          <w:tcPr>
            <w:tcW w:w="0" w:type="auto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</w:p>
        </w:tc>
      </w:tr>
      <w:tr w:rsidR="00000000">
        <w:trPr>
          <w:divId w:val="1450272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0272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A2B8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2B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732260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A2B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A2B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B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B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B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B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B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B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B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B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732260X6913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7A2B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2B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B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B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732261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</w:p>
        </w:tc>
      </w:tr>
    </w:tbl>
    <w:p w:rsidR="00000000" w:rsidRDefault="007A2B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0"/>
        <w:gridCol w:w="36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2B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2022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2022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</w:t>
            </w:r>
            <w:r>
              <w:rPr>
                <w:rFonts w:eastAsia="Times New Roman"/>
              </w:rPr>
              <w:t>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2B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 Плюс» (Общество)/АО «ПРЦ» (Регистратор), 143421, Московская обл</w:t>
            </w:r>
            <w:r>
              <w:rPr>
                <w:rFonts w:eastAsia="Times New Roman"/>
              </w:rPr>
              <w:br/>
              <w:t>асть, г.о. Красногорск, тер. автодорога Балтия, км 26-й, д.5, стр.3, о</w:t>
            </w:r>
            <w:r>
              <w:rPr>
                <w:rFonts w:eastAsia="Times New Roman"/>
              </w:rPr>
              <w:br/>
              <w:t>фис 506/117452, г. Москва, Балаклавский проспект, д. 28В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</w:t>
            </w:r>
            <w:r>
              <w:rPr>
                <w:rFonts w:eastAsia="Times New Roman"/>
              </w:rPr>
              <w:t xml:space="preserve">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A2B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38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A2B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2B8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2B8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2B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полугодия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A2B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2B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A2B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- по обыкновенным акциям Общества по итогам полугодия 2022 года в размере – 0,089954268233679? рублей на одну обыкновенную акцию Общества в денежной форме. Определить дату составления списка лиц, имеющих право на получение дивидендов – </w:t>
            </w:r>
            <w:r>
              <w:rPr>
                <w:rFonts w:eastAsia="Times New Roman"/>
              </w:rPr>
              <w:t>11 октября 2022 года. Сумма начисленных дивидендов в расчете на одного акционера определяется с точностью до одной копейки. Округление цифр при расчете производится по правилам математического округления. Срок выплаты дивидендов номинальному держателю и яв</w:t>
            </w:r>
            <w:r>
              <w:rPr>
                <w:rFonts w:eastAsia="Times New Roman"/>
              </w:rPr>
              <w:t>ляющемуся профессиональным участником рынка ценных бумаг доверительному управляющему, которые зарегистрированы в реестре акционеров, не должен превышать 10 рабочих дней, а другим зарегистрированным в реестре акционеров лицам – 25 рабочих дней с даты, на ко</w:t>
            </w:r>
            <w:r>
              <w:rPr>
                <w:rFonts w:eastAsia="Times New Roman"/>
              </w:rPr>
              <w:t xml:space="preserve">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7A2B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2B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2B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2B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2B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2B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2B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A2B8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A2B89">
      <w:pPr>
        <w:rPr>
          <w:rFonts w:eastAsia="Times New Roman"/>
        </w:rPr>
      </w:pPr>
    </w:p>
    <w:p w:rsidR="00000000" w:rsidRDefault="007A2B8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A2B89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1. О выплате (объявлении) дивидендов по результатам полугодия 2022 года. </w:t>
      </w:r>
    </w:p>
    <w:p w:rsidR="00000000" w:rsidRDefault="007A2B8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A2B8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A2B8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A2B89">
      <w:pPr>
        <w:rPr>
          <w:rFonts w:eastAsia="Times New Roman"/>
        </w:rPr>
      </w:pPr>
      <w:r>
        <w:rPr>
          <w:rFonts w:eastAsia="Times New Roman"/>
        </w:rPr>
        <w:br/>
      </w:r>
    </w:p>
    <w:p w:rsidR="007A2B89" w:rsidRDefault="007A2B89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A2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A3905"/>
    <w:rsid w:val="007A2B89"/>
    <w:rsid w:val="00BA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15276F-40F3-4D68-AC8A-4EE42722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27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368138942c64942a6b87f6452016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2022-09-12T04:46:00Z</dcterms:created>
  <dcterms:modified xsi:type="dcterms:W3CDTF">2022-09-12T04:46:00Z</dcterms:modified>
</cp:coreProperties>
</file>