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1135">
      <w:pPr>
        <w:pStyle w:val="a3"/>
        <w:divId w:val="15677475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6774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33910122</w:t>
            </w:r>
          </w:p>
        </w:tc>
        <w:tc>
          <w:tcPr>
            <w:tcW w:w="0" w:type="auto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</w:p>
        </w:tc>
      </w:tr>
      <w:tr w:rsidR="00000000">
        <w:trPr>
          <w:divId w:val="156774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</w:p>
        </w:tc>
      </w:tr>
      <w:tr w:rsidR="00000000">
        <w:trPr>
          <w:divId w:val="156774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33669400</w:t>
            </w:r>
          </w:p>
        </w:tc>
        <w:tc>
          <w:tcPr>
            <w:tcW w:w="0" w:type="auto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</w:p>
        </w:tc>
      </w:tr>
      <w:tr w:rsidR="00000000">
        <w:trPr>
          <w:divId w:val="156774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774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113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"Белон" ИНН 5410102823 (акция 1-06-10167-F / ISIN 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60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1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1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416010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1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1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2019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1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652607, Кемеровская область, г. Белово, ул. 1 Телеут, д. 27/2, пом.1</w:t>
            </w:r>
          </w:p>
        </w:tc>
      </w:tr>
    </w:tbl>
    <w:p w:rsidR="00000000" w:rsidRDefault="001511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51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416010X10563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511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6"/>
        <w:gridCol w:w="38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1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</w:t>
            </w:r>
            <w:r>
              <w:rPr>
                <w:rFonts w:eastAsia="Times New Roman"/>
              </w:rPr>
              <w:t xml:space="preserve">2019 г. 17:59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 21:59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 Телеут</w:t>
            </w:r>
            <w:r>
              <w:rPr>
                <w:rFonts w:eastAsia="Times New Roman"/>
              </w:rPr>
              <w:t>, д. 27/2, пом.1</w:t>
            </w:r>
          </w:p>
        </w:tc>
      </w:tr>
    </w:tbl>
    <w:p w:rsidR="00000000" w:rsidRDefault="00151135">
      <w:pPr>
        <w:rPr>
          <w:rFonts w:eastAsia="Times New Roman"/>
        </w:rPr>
      </w:pPr>
    </w:p>
    <w:p w:rsidR="00000000" w:rsidRDefault="00151135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151135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отчёта, годовой бухгалтерской отчётности Общества за 2018 год.</w:t>
      </w:r>
      <w:r>
        <w:rPr>
          <w:rFonts w:eastAsia="Times New Roman"/>
        </w:rPr>
        <w:br/>
        <w:t>2. Распределение прибыли (в том числе выплата (объявление) дивидендов) Общества по результатам отчетного года.</w:t>
      </w:r>
      <w:r>
        <w:rPr>
          <w:rFonts w:eastAsia="Times New Roman"/>
        </w:rPr>
        <w:br/>
      </w:r>
      <w:r>
        <w:rPr>
          <w:rFonts w:eastAsia="Times New Roman"/>
        </w:rPr>
        <w:t>3. Избрание членов Совета директоров Общества.</w:t>
      </w:r>
      <w:r>
        <w:rPr>
          <w:rFonts w:eastAsia="Times New Roman"/>
        </w:rPr>
        <w:br/>
        <w:t>4. Избрание членов ревизионной комиссии Общества.</w:t>
      </w:r>
      <w:r>
        <w:rPr>
          <w:rFonts w:eastAsia="Times New Roman"/>
        </w:rPr>
        <w:br/>
        <w:t xml:space="preserve">5. Утверждение аудитора Общества. </w:t>
      </w:r>
    </w:p>
    <w:p w:rsidR="00000000" w:rsidRDefault="0015113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 xml:space="preserve">озитарием доступа к такой информации". </w:t>
      </w:r>
    </w:p>
    <w:p w:rsidR="00000000" w:rsidRDefault="00151135">
      <w:pPr>
        <w:pStyle w:val="a3"/>
      </w:pPr>
      <w:r>
        <w:t>4.2. Информация о созыве общего собрания акционеров эмитента.</w:t>
      </w:r>
    </w:p>
    <w:p w:rsidR="00000000" w:rsidRDefault="0015113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</w:t>
        </w:r>
        <w:r>
          <w:rPr>
            <w:rStyle w:val="a4"/>
          </w:rPr>
          <w:t xml:space="preserve"> по которому можно ознакомиться с дополнительной документацией</w:t>
        </w:r>
      </w:hyperlink>
    </w:p>
    <w:p w:rsidR="00151135" w:rsidRDefault="0015113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</w:t>
      </w:r>
      <w:r>
        <w:t> manager (495) 956-27-90, (495) 956-27-91</w:t>
      </w:r>
    </w:p>
    <w:sectPr w:rsidR="0015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90353"/>
    <w:rsid w:val="00090353"/>
    <w:rsid w:val="0015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7EBADE-1DC7-4C00-9732-37788D8F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682fe54f8da45aa96c1ac9d96b9b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2019-06-04T05:28:00Z</dcterms:created>
  <dcterms:modified xsi:type="dcterms:W3CDTF">2019-06-04T05:28:00Z</dcterms:modified>
</cp:coreProperties>
</file>