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C3E58">
      <w:pPr>
        <w:pStyle w:val="a3"/>
        <w:divId w:val="1736511626"/>
      </w:pPr>
      <w:bookmarkStart w:id="0" w:name="_GoBack"/>
      <w:bookmarkEnd w:id="0"/>
      <w:r>
        <w:t>CS391 Сообщение об отмене корпоративного действия</w:t>
      </w:r>
    </w:p>
    <w:tbl>
      <w:tblPr>
        <w:tblW w:w="5000" w:type="pct"/>
        <w:tblCellSpacing w:w="7" w:type="dxa"/>
        <w:tblCellMar>
          <w:left w:w="0" w:type="dxa"/>
          <w:right w:w="0" w:type="dxa"/>
        </w:tblCellMar>
        <w:tblLook w:val="04A0" w:firstRow="1" w:lastRow="0" w:firstColumn="1" w:lastColumn="0" w:noHBand="0" w:noVBand="1"/>
      </w:tblPr>
      <w:tblGrid>
        <w:gridCol w:w="3429"/>
        <w:gridCol w:w="2424"/>
        <w:gridCol w:w="3502"/>
      </w:tblGrid>
      <w:tr w:rsidR="00000000">
        <w:trPr>
          <w:divId w:val="1736511626"/>
          <w:tblCellSpacing w:w="7" w:type="dxa"/>
        </w:trPr>
        <w:tc>
          <w:tcPr>
            <w:tcW w:w="0" w:type="auto"/>
            <w:vAlign w:val="center"/>
            <w:hideMark/>
          </w:tcPr>
          <w:p w:rsidR="00000000" w:rsidRDefault="001C3E58">
            <w:pPr>
              <w:rPr>
                <w:rFonts w:eastAsia="Times New Roman"/>
              </w:rPr>
            </w:pPr>
            <w:r>
              <w:rPr>
                <w:rFonts w:eastAsia="Times New Roman"/>
              </w:rPr>
              <w:t>Сообщение</w:t>
            </w:r>
          </w:p>
        </w:tc>
        <w:tc>
          <w:tcPr>
            <w:tcW w:w="0" w:type="auto"/>
            <w:vAlign w:val="center"/>
            <w:hideMark/>
          </w:tcPr>
          <w:p w:rsidR="00000000" w:rsidRDefault="001C3E58">
            <w:pPr>
              <w:rPr>
                <w:rFonts w:eastAsia="Times New Roman"/>
              </w:rPr>
            </w:pPr>
            <w:r>
              <w:rPr>
                <w:rFonts w:eastAsia="Times New Roman"/>
              </w:rPr>
              <w:t>№ 108842381</w:t>
            </w:r>
          </w:p>
        </w:tc>
        <w:tc>
          <w:tcPr>
            <w:tcW w:w="0" w:type="auto"/>
            <w:vAlign w:val="center"/>
            <w:hideMark/>
          </w:tcPr>
          <w:p w:rsidR="00000000" w:rsidRDefault="001C3E58">
            <w:pPr>
              <w:rPr>
                <w:rFonts w:eastAsia="Times New Roman"/>
              </w:rPr>
            </w:pPr>
          </w:p>
        </w:tc>
      </w:tr>
      <w:tr w:rsidR="00000000">
        <w:trPr>
          <w:divId w:val="1736511626"/>
          <w:tblCellSpacing w:w="7" w:type="dxa"/>
        </w:trPr>
        <w:tc>
          <w:tcPr>
            <w:tcW w:w="0" w:type="auto"/>
            <w:vAlign w:val="center"/>
            <w:hideMark/>
          </w:tcPr>
          <w:p w:rsidR="00000000" w:rsidRDefault="001C3E58">
            <w:pPr>
              <w:rPr>
                <w:rFonts w:eastAsia="Times New Roman"/>
              </w:rPr>
            </w:pPr>
            <w:r>
              <w:rPr>
                <w:rFonts w:eastAsia="Times New Roman"/>
              </w:rPr>
              <w:t>Функция сообщения:</w:t>
            </w:r>
          </w:p>
        </w:tc>
        <w:tc>
          <w:tcPr>
            <w:tcW w:w="0" w:type="auto"/>
            <w:vAlign w:val="center"/>
            <w:hideMark/>
          </w:tcPr>
          <w:p w:rsidR="00000000" w:rsidRDefault="001C3E58">
            <w:pPr>
              <w:rPr>
                <w:rFonts w:eastAsia="Times New Roman"/>
              </w:rPr>
            </w:pPr>
            <w:r>
              <w:rPr>
                <w:rFonts w:eastAsia="Times New Roman"/>
              </w:rPr>
              <w:t>Новое сообщение</w:t>
            </w:r>
          </w:p>
        </w:tc>
        <w:tc>
          <w:tcPr>
            <w:tcW w:w="0" w:type="auto"/>
            <w:vAlign w:val="center"/>
            <w:hideMark/>
          </w:tcPr>
          <w:p w:rsidR="00000000" w:rsidRDefault="001C3E58">
            <w:pPr>
              <w:rPr>
                <w:rFonts w:eastAsia="Times New Roman"/>
              </w:rPr>
            </w:pPr>
          </w:p>
        </w:tc>
      </w:tr>
      <w:tr w:rsidR="00000000">
        <w:trPr>
          <w:divId w:val="1736511626"/>
          <w:tblCellSpacing w:w="7" w:type="dxa"/>
        </w:trPr>
        <w:tc>
          <w:tcPr>
            <w:tcW w:w="0" w:type="auto"/>
            <w:vAlign w:val="center"/>
            <w:hideMark/>
          </w:tcPr>
          <w:p w:rsidR="00000000" w:rsidRDefault="001C3E58">
            <w:pPr>
              <w:rPr>
                <w:rFonts w:eastAsia="Times New Roman"/>
              </w:rPr>
            </w:pPr>
            <w:r>
              <w:rPr>
                <w:rFonts w:eastAsia="Times New Roman"/>
              </w:rPr>
              <w:t>Отправитель сообщения:</w:t>
            </w:r>
          </w:p>
        </w:tc>
        <w:tc>
          <w:tcPr>
            <w:tcW w:w="0" w:type="auto"/>
            <w:vAlign w:val="center"/>
            <w:hideMark/>
          </w:tcPr>
          <w:p w:rsidR="00000000" w:rsidRDefault="001C3E58">
            <w:pPr>
              <w:rPr>
                <w:rFonts w:eastAsia="Times New Roman"/>
              </w:rPr>
            </w:pPr>
            <w:r>
              <w:rPr>
                <w:rFonts w:eastAsia="Times New Roman"/>
              </w:rPr>
              <w:t>NDC000000000</w:t>
            </w:r>
          </w:p>
        </w:tc>
        <w:tc>
          <w:tcPr>
            <w:tcW w:w="0" w:type="auto"/>
            <w:vAlign w:val="center"/>
            <w:hideMark/>
          </w:tcPr>
          <w:p w:rsidR="00000000" w:rsidRDefault="001C3E58">
            <w:pPr>
              <w:rPr>
                <w:rFonts w:eastAsia="Times New Roman"/>
              </w:rPr>
            </w:pPr>
            <w:r>
              <w:rPr>
                <w:rFonts w:eastAsia="Times New Roman"/>
              </w:rPr>
              <w:t>НКО АО НРД</w:t>
            </w:r>
          </w:p>
        </w:tc>
      </w:tr>
      <w:tr w:rsidR="00000000">
        <w:trPr>
          <w:divId w:val="1736511626"/>
          <w:tblCellSpacing w:w="7" w:type="dxa"/>
        </w:trPr>
        <w:tc>
          <w:tcPr>
            <w:tcW w:w="0" w:type="auto"/>
            <w:vAlign w:val="center"/>
            <w:hideMark/>
          </w:tcPr>
          <w:p w:rsidR="00000000" w:rsidRDefault="001C3E58">
            <w:pPr>
              <w:rPr>
                <w:rFonts w:eastAsia="Times New Roman"/>
              </w:rPr>
            </w:pPr>
            <w:r>
              <w:rPr>
                <w:rFonts w:eastAsia="Times New Roman"/>
              </w:rPr>
              <w:t>Получатель сообщения:</w:t>
            </w:r>
          </w:p>
        </w:tc>
        <w:tc>
          <w:tcPr>
            <w:tcW w:w="0" w:type="auto"/>
            <w:vAlign w:val="center"/>
            <w:hideMark/>
          </w:tcPr>
          <w:p w:rsidR="00000000" w:rsidRDefault="001C3E58">
            <w:pPr>
              <w:rPr>
                <w:rFonts w:eastAsia="Times New Roman"/>
              </w:rPr>
            </w:pPr>
            <w:r>
              <w:rPr>
                <w:rFonts w:eastAsia="Times New Roman"/>
              </w:rPr>
              <w:t>MC0083900000</w:t>
            </w:r>
          </w:p>
        </w:tc>
        <w:tc>
          <w:tcPr>
            <w:tcW w:w="0" w:type="auto"/>
            <w:vAlign w:val="center"/>
            <w:hideMark/>
          </w:tcPr>
          <w:p w:rsidR="00000000" w:rsidRDefault="001C3E58">
            <w:pPr>
              <w:rPr>
                <w:rFonts w:eastAsia="Times New Roman"/>
              </w:rPr>
            </w:pPr>
            <w:r>
              <w:rPr>
                <w:rFonts w:eastAsia="Times New Roman"/>
              </w:rPr>
              <w:t>ООО ИК "ММК-Финанс"</w:t>
            </w:r>
          </w:p>
        </w:tc>
      </w:tr>
    </w:tbl>
    <w:p w:rsidR="00000000" w:rsidRDefault="001C3E58">
      <w:pPr>
        <w:pStyle w:val="1"/>
        <w:rPr>
          <w:rFonts w:eastAsia="Times New Roman"/>
        </w:rPr>
      </w:pPr>
      <w:r>
        <w:rPr>
          <w:rFonts w:eastAsia="Times New Roman"/>
        </w:rPr>
        <w:t>(BPUT) Об отмене корпоративного действия "Досрочное погашение ценных бумаг или приобретение их эмитентом" с ценными бумагами эмитента ПАО "ТМК" ИНН 7710373095 (облигация 4B02-07-29031-H / ISIN RU000A0JXSF8)</w:t>
      </w:r>
    </w:p>
    <w:tbl>
      <w:tblPr>
        <w:tblW w:w="5000" w:type="pct"/>
        <w:tblCellSpacing w:w="7" w:type="dxa"/>
        <w:tblCellMar>
          <w:left w:w="0" w:type="dxa"/>
          <w:right w:w="0" w:type="dxa"/>
        </w:tblCellMar>
        <w:tblLook w:val="04A0" w:firstRow="1" w:lastRow="0" w:firstColumn="1" w:lastColumn="0" w:noHBand="0" w:noVBand="1"/>
      </w:tblPr>
      <w:tblGrid>
        <w:gridCol w:w="3327"/>
        <w:gridCol w:w="6028"/>
      </w:tblGrid>
      <w:tr w:rsidR="00000000">
        <w:trPr>
          <w:tblHeader/>
          <w:tblCellSpacing w:w="7" w:type="dxa"/>
        </w:trPr>
        <w:tc>
          <w:tcPr>
            <w:tcW w:w="0" w:type="auto"/>
            <w:gridSpan w:val="2"/>
            <w:shd w:val="clear" w:color="auto" w:fill="BBBBBB"/>
            <w:vAlign w:val="center"/>
            <w:hideMark/>
          </w:tcPr>
          <w:p w:rsidR="00000000" w:rsidRDefault="001C3E58">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1C3E58">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1C3E58">
            <w:pPr>
              <w:wordWrap w:val="0"/>
              <w:rPr>
                <w:rFonts w:eastAsia="Times New Roman"/>
              </w:rPr>
            </w:pPr>
            <w:r>
              <w:rPr>
                <w:rFonts w:eastAsia="Times New Roman"/>
              </w:rPr>
              <w:t>808655</w:t>
            </w:r>
          </w:p>
        </w:tc>
      </w:tr>
      <w:tr w:rsidR="00000000">
        <w:trPr>
          <w:tblCellSpacing w:w="7" w:type="dxa"/>
        </w:trPr>
        <w:tc>
          <w:tcPr>
            <w:tcW w:w="0" w:type="auto"/>
            <w:shd w:val="clear" w:color="auto" w:fill="EEEEEE"/>
            <w:vAlign w:val="center"/>
            <w:hideMark/>
          </w:tcPr>
          <w:p w:rsidR="00000000" w:rsidRDefault="001C3E58">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1C3E58">
            <w:pPr>
              <w:wordWrap w:val="0"/>
              <w:rPr>
                <w:rFonts w:eastAsia="Times New Roman"/>
              </w:rPr>
            </w:pPr>
            <w:r>
              <w:rPr>
                <w:rFonts w:eastAsia="Times New Roman"/>
              </w:rPr>
              <w:t>BPUT</w:t>
            </w:r>
          </w:p>
        </w:tc>
      </w:tr>
      <w:tr w:rsidR="00000000">
        <w:trPr>
          <w:tblCellSpacing w:w="7" w:type="dxa"/>
        </w:trPr>
        <w:tc>
          <w:tcPr>
            <w:tcW w:w="0" w:type="auto"/>
            <w:shd w:val="clear" w:color="auto" w:fill="EEEEEE"/>
            <w:vAlign w:val="center"/>
            <w:hideMark/>
          </w:tcPr>
          <w:p w:rsidR="00000000" w:rsidRDefault="001C3E58">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1C3E58">
            <w:pPr>
              <w:wordWrap w:val="0"/>
              <w:rPr>
                <w:rFonts w:eastAsia="Times New Roman"/>
              </w:rPr>
            </w:pPr>
            <w:r>
              <w:rPr>
                <w:rFonts w:eastAsia="Times New Roman"/>
              </w:rPr>
              <w:t>Досрочное погашение ценных бумаг или приобретение их эмитентом</w:t>
            </w:r>
          </w:p>
        </w:tc>
      </w:tr>
      <w:tr w:rsidR="00000000">
        <w:trPr>
          <w:tblCellSpacing w:w="7" w:type="dxa"/>
        </w:trPr>
        <w:tc>
          <w:tcPr>
            <w:tcW w:w="0" w:type="auto"/>
            <w:shd w:val="clear" w:color="auto" w:fill="EEEEEE"/>
            <w:vAlign w:val="center"/>
            <w:hideMark/>
          </w:tcPr>
          <w:p w:rsidR="00000000" w:rsidRDefault="001C3E58">
            <w:pPr>
              <w:rPr>
                <w:rFonts w:eastAsia="Times New Roman"/>
              </w:rPr>
            </w:pPr>
            <w:r>
              <w:rPr>
                <w:rFonts w:eastAsia="Times New Roman"/>
              </w:rPr>
              <w:t>Статус обработки</w:t>
            </w:r>
          </w:p>
        </w:tc>
        <w:tc>
          <w:tcPr>
            <w:tcW w:w="0" w:type="auto"/>
            <w:shd w:val="clear" w:color="auto" w:fill="EEEEEE"/>
            <w:vAlign w:val="center"/>
            <w:hideMark/>
          </w:tcPr>
          <w:p w:rsidR="00000000" w:rsidRDefault="001C3E58">
            <w:pPr>
              <w:wordWrap w:val="0"/>
              <w:rPr>
                <w:rFonts w:eastAsia="Times New Roman"/>
              </w:rPr>
            </w:pPr>
            <w:r>
              <w:rPr>
                <w:rFonts w:eastAsia="Times New Roman"/>
              </w:rPr>
              <w:t>Полная информация</w:t>
            </w:r>
          </w:p>
        </w:tc>
      </w:tr>
      <w:tr w:rsidR="00000000">
        <w:trPr>
          <w:tblCellSpacing w:w="7" w:type="dxa"/>
        </w:trPr>
        <w:tc>
          <w:tcPr>
            <w:tcW w:w="0" w:type="auto"/>
            <w:shd w:val="clear" w:color="auto" w:fill="EEEEEE"/>
            <w:vAlign w:val="center"/>
            <w:hideMark/>
          </w:tcPr>
          <w:p w:rsidR="00000000" w:rsidRDefault="001C3E58">
            <w:pPr>
              <w:rPr>
                <w:rFonts w:eastAsia="Times New Roman"/>
              </w:rPr>
            </w:pPr>
            <w:r>
              <w:rPr>
                <w:rFonts w:eastAsia="Times New Roman"/>
              </w:rPr>
              <w:t>Дата КД (план.)</w:t>
            </w:r>
          </w:p>
        </w:tc>
        <w:tc>
          <w:tcPr>
            <w:tcW w:w="0" w:type="auto"/>
            <w:shd w:val="clear" w:color="auto" w:fill="EEEEEE"/>
            <w:vAlign w:val="center"/>
            <w:hideMark/>
          </w:tcPr>
          <w:p w:rsidR="00000000" w:rsidRDefault="001C3E58">
            <w:pPr>
              <w:rPr>
                <w:rFonts w:eastAsia="Times New Roman"/>
              </w:rPr>
            </w:pPr>
            <w:r>
              <w:rPr>
                <w:rFonts w:eastAsia="Times New Roman"/>
              </w:rPr>
              <w:t>29 мая 2025 г.</w:t>
            </w:r>
          </w:p>
        </w:tc>
      </w:tr>
    </w:tbl>
    <w:p w:rsidR="00000000" w:rsidRDefault="001C3E5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919"/>
        <w:gridCol w:w="1992"/>
        <w:gridCol w:w="1394"/>
        <w:gridCol w:w="1164"/>
        <w:gridCol w:w="1655"/>
        <w:gridCol w:w="1655"/>
        <w:gridCol w:w="1531"/>
        <w:gridCol w:w="1483"/>
        <w:gridCol w:w="1094"/>
      </w:tblGrid>
      <w:tr w:rsidR="00000000">
        <w:trPr>
          <w:tblHeader/>
          <w:tblCellSpacing w:w="7" w:type="dxa"/>
        </w:trPr>
        <w:tc>
          <w:tcPr>
            <w:tcW w:w="0" w:type="auto"/>
            <w:gridSpan w:val="10"/>
            <w:shd w:val="clear" w:color="auto" w:fill="BBBBBB"/>
            <w:vAlign w:val="center"/>
            <w:hideMark/>
          </w:tcPr>
          <w:p w:rsidR="00000000" w:rsidRDefault="001C3E58">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1C3E58">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1C3E58">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1C3E58">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1C3E58">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1C3E58">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1C3E58">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1C3E58">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1C3E58">
            <w:pPr>
              <w:jc w:val="center"/>
              <w:rPr>
                <w:rFonts w:eastAsia="Times New Roman"/>
                <w:b/>
                <w:bCs/>
              </w:rPr>
            </w:pPr>
            <w:r>
              <w:rPr>
                <w:rFonts w:eastAsia="Times New Roman"/>
                <w:b/>
                <w:bCs/>
              </w:rPr>
              <w:t>Номинальная стоимость</w:t>
            </w:r>
          </w:p>
        </w:tc>
        <w:tc>
          <w:tcPr>
            <w:tcW w:w="0" w:type="auto"/>
            <w:shd w:val="clear" w:color="auto" w:fill="BBBBBB"/>
            <w:vAlign w:val="center"/>
            <w:hideMark/>
          </w:tcPr>
          <w:p w:rsidR="00000000" w:rsidRDefault="001C3E58">
            <w:pPr>
              <w:jc w:val="center"/>
              <w:rPr>
                <w:rFonts w:eastAsia="Times New Roman"/>
                <w:b/>
                <w:bCs/>
              </w:rPr>
            </w:pPr>
            <w:r>
              <w:rPr>
                <w:rFonts w:eastAsia="Times New Roman"/>
                <w:b/>
                <w:bCs/>
              </w:rPr>
              <w:t>Остаточная номинальная стоимость</w:t>
            </w:r>
          </w:p>
        </w:tc>
        <w:tc>
          <w:tcPr>
            <w:tcW w:w="0" w:type="auto"/>
            <w:shd w:val="clear" w:color="auto" w:fill="BBBBBB"/>
            <w:vAlign w:val="center"/>
            <w:hideMark/>
          </w:tcPr>
          <w:p w:rsidR="00000000" w:rsidRDefault="001C3E58">
            <w:pPr>
              <w:jc w:val="center"/>
              <w:rPr>
                <w:rFonts w:eastAsia="Times New Roman"/>
                <w:b/>
                <w:bCs/>
              </w:rPr>
            </w:pPr>
            <w:r>
              <w:rPr>
                <w:rFonts w:eastAsia="Times New Roman"/>
                <w:b/>
                <w:bCs/>
              </w:rPr>
              <w:t>Валюта номинала</w:t>
            </w:r>
          </w:p>
        </w:tc>
      </w:tr>
      <w:tr w:rsidR="00000000">
        <w:trPr>
          <w:tblCellSpacing w:w="7" w:type="dxa"/>
        </w:trPr>
        <w:tc>
          <w:tcPr>
            <w:tcW w:w="0" w:type="auto"/>
            <w:shd w:val="clear" w:color="auto" w:fill="EEEEEE"/>
            <w:vAlign w:val="center"/>
            <w:hideMark/>
          </w:tcPr>
          <w:p w:rsidR="00000000" w:rsidRDefault="001C3E58">
            <w:pPr>
              <w:rPr>
                <w:rFonts w:eastAsia="Times New Roman"/>
              </w:rPr>
            </w:pPr>
            <w:r>
              <w:rPr>
                <w:rFonts w:eastAsia="Times New Roman"/>
              </w:rPr>
              <w:t>808655X33522</w:t>
            </w:r>
          </w:p>
        </w:tc>
        <w:tc>
          <w:tcPr>
            <w:tcW w:w="0" w:type="auto"/>
            <w:shd w:val="clear" w:color="auto" w:fill="EEEEEE"/>
            <w:vAlign w:val="center"/>
            <w:hideMark/>
          </w:tcPr>
          <w:p w:rsidR="00000000" w:rsidRDefault="001C3E58">
            <w:pPr>
              <w:rPr>
                <w:rFonts w:eastAsia="Times New Roman"/>
              </w:rPr>
            </w:pPr>
            <w:r>
              <w:rPr>
                <w:rFonts w:eastAsia="Times New Roman"/>
              </w:rPr>
              <w:t>Публичное акционерное общество "Трубная Металлургическая Компания"</w:t>
            </w:r>
          </w:p>
        </w:tc>
        <w:tc>
          <w:tcPr>
            <w:tcW w:w="0" w:type="auto"/>
            <w:shd w:val="clear" w:color="auto" w:fill="EEEEEE"/>
            <w:vAlign w:val="center"/>
            <w:hideMark/>
          </w:tcPr>
          <w:p w:rsidR="00000000" w:rsidRDefault="001C3E58">
            <w:pPr>
              <w:rPr>
                <w:rFonts w:eastAsia="Times New Roman"/>
              </w:rPr>
            </w:pPr>
            <w:r>
              <w:rPr>
                <w:rFonts w:eastAsia="Times New Roman"/>
              </w:rPr>
              <w:t>4B02-07-29031-H</w:t>
            </w:r>
          </w:p>
        </w:tc>
        <w:tc>
          <w:tcPr>
            <w:tcW w:w="0" w:type="auto"/>
            <w:shd w:val="clear" w:color="auto" w:fill="EEEEEE"/>
            <w:vAlign w:val="center"/>
            <w:hideMark/>
          </w:tcPr>
          <w:p w:rsidR="00000000" w:rsidRDefault="001C3E58">
            <w:pPr>
              <w:rPr>
                <w:rFonts w:eastAsia="Times New Roman"/>
              </w:rPr>
            </w:pPr>
            <w:r>
              <w:rPr>
                <w:rFonts w:eastAsia="Times New Roman"/>
              </w:rPr>
              <w:t>24 сентября 2013 г.</w:t>
            </w:r>
          </w:p>
        </w:tc>
        <w:tc>
          <w:tcPr>
            <w:tcW w:w="0" w:type="auto"/>
            <w:shd w:val="clear" w:color="auto" w:fill="EEEEEE"/>
            <w:vAlign w:val="center"/>
            <w:hideMark/>
          </w:tcPr>
          <w:p w:rsidR="00000000" w:rsidRDefault="001C3E58">
            <w:pPr>
              <w:rPr>
                <w:rFonts w:eastAsia="Times New Roman"/>
              </w:rPr>
            </w:pPr>
            <w:r>
              <w:rPr>
                <w:rFonts w:eastAsia="Times New Roman"/>
              </w:rPr>
              <w:t xml:space="preserve">облигации </w:t>
            </w:r>
          </w:p>
        </w:tc>
        <w:tc>
          <w:tcPr>
            <w:tcW w:w="0" w:type="auto"/>
            <w:shd w:val="clear" w:color="auto" w:fill="EEEEEE"/>
            <w:vAlign w:val="center"/>
            <w:hideMark/>
          </w:tcPr>
          <w:p w:rsidR="00000000" w:rsidRDefault="001C3E58">
            <w:pPr>
              <w:rPr>
                <w:rFonts w:eastAsia="Times New Roman"/>
              </w:rPr>
            </w:pPr>
            <w:r>
              <w:rPr>
                <w:rFonts w:eastAsia="Times New Roman"/>
              </w:rPr>
              <w:t>RU000A0JXSF8</w:t>
            </w:r>
          </w:p>
        </w:tc>
        <w:tc>
          <w:tcPr>
            <w:tcW w:w="0" w:type="auto"/>
            <w:shd w:val="clear" w:color="auto" w:fill="EEEEEE"/>
            <w:vAlign w:val="center"/>
            <w:hideMark/>
          </w:tcPr>
          <w:p w:rsidR="00000000" w:rsidRDefault="001C3E58">
            <w:pPr>
              <w:rPr>
                <w:rFonts w:eastAsia="Times New Roman"/>
              </w:rPr>
            </w:pPr>
            <w:r>
              <w:rPr>
                <w:rFonts w:eastAsia="Times New Roman"/>
              </w:rPr>
              <w:t>RU000A0JXSF8</w:t>
            </w:r>
          </w:p>
        </w:tc>
        <w:tc>
          <w:tcPr>
            <w:tcW w:w="0" w:type="auto"/>
            <w:shd w:val="clear" w:color="auto" w:fill="EEEEEE"/>
            <w:vAlign w:val="center"/>
            <w:hideMark/>
          </w:tcPr>
          <w:p w:rsidR="00000000" w:rsidRDefault="001C3E58">
            <w:pPr>
              <w:rPr>
                <w:rFonts w:eastAsia="Times New Roman"/>
              </w:rPr>
            </w:pPr>
            <w:r>
              <w:rPr>
                <w:rFonts w:eastAsia="Times New Roman"/>
              </w:rPr>
              <w:t>1000</w:t>
            </w:r>
          </w:p>
        </w:tc>
        <w:tc>
          <w:tcPr>
            <w:tcW w:w="0" w:type="auto"/>
            <w:shd w:val="clear" w:color="auto" w:fill="EEEEEE"/>
            <w:vAlign w:val="center"/>
            <w:hideMark/>
          </w:tcPr>
          <w:p w:rsidR="00000000" w:rsidRDefault="001C3E58">
            <w:pPr>
              <w:rPr>
                <w:rFonts w:eastAsia="Times New Roman"/>
              </w:rPr>
            </w:pPr>
            <w:r>
              <w:rPr>
                <w:rFonts w:eastAsia="Times New Roman"/>
              </w:rPr>
              <w:t>1000</w:t>
            </w:r>
          </w:p>
        </w:tc>
        <w:tc>
          <w:tcPr>
            <w:tcW w:w="0" w:type="auto"/>
            <w:shd w:val="clear" w:color="auto" w:fill="EEEEEE"/>
            <w:vAlign w:val="center"/>
            <w:hideMark/>
          </w:tcPr>
          <w:p w:rsidR="00000000" w:rsidRDefault="001C3E58">
            <w:pPr>
              <w:rPr>
                <w:rFonts w:eastAsia="Times New Roman"/>
              </w:rPr>
            </w:pPr>
            <w:r>
              <w:rPr>
                <w:rFonts w:eastAsia="Times New Roman"/>
              </w:rPr>
              <w:t>RUB</w:t>
            </w:r>
          </w:p>
        </w:tc>
      </w:tr>
    </w:tbl>
    <w:p w:rsidR="00000000" w:rsidRDefault="001C3E5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364"/>
        <w:gridCol w:w="4991"/>
      </w:tblGrid>
      <w:tr w:rsidR="00000000">
        <w:trPr>
          <w:tblHeader/>
          <w:tblCellSpacing w:w="7" w:type="dxa"/>
        </w:trPr>
        <w:tc>
          <w:tcPr>
            <w:tcW w:w="0" w:type="auto"/>
            <w:gridSpan w:val="2"/>
            <w:shd w:val="clear" w:color="auto" w:fill="BBBBBB"/>
            <w:vAlign w:val="center"/>
            <w:hideMark/>
          </w:tcPr>
          <w:p w:rsidR="00000000" w:rsidRDefault="001C3E58">
            <w:pPr>
              <w:jc w:val="center"/>
              <w:rPr>
                <w:rFonts w:eastAsia="Times New Roman"/>
                <w:b/>
                <w:bCs/>
              </w:rPr>
            </w:pPr>
            <w:r>
              <w:rPr>
                <w:rFonts w:eastAsia="Times New Roman"/>
                <w:b/>
                <w:bCs/>
              </w:rPr>
              <w:t>Детали корпоративного действия</w:t>
            </w:r>
          </w:p>
        </w:tc>
      </w:tr>
      <w:tr w:rsidR="00000000">
        <w:trPr>
          <w:tblCellSpacing w:w="7" w:type="dxa"/>
        </w:trPr>
        <w:tc>
          <w:tcPr>
            <w:tcW w:w="0" w:type="auto"/>
            <w:shd w:val="clear" w:color="auto" w:fill="EEEEEE"/>
            <w:vAlign w:val="center"/>
            <w:hideMark/>
          </w:tcPr>
          <w:p w:rsidR="00000000" w:rsidRDefault="001C3E58">
            <w:pPr>
              <w:rPr>
                <w:rFonts w:eastAsia="Times New Roman"/>
              </w:rPr>
            </w:pPr>
            <w:r>
              <w:rPr>
                <w:rFonts w:eastAsia="Times New Roman"/>
              </w:rPr>
              <w:t>Способ подачи инструкций (требований)</w:t>
            </w:r>
          </w:p>
        </w:tc>
        <w:tc>
          <w:tcPr>
            <w:tcW w:w="0" w:type="auto"/>
            <w:shd w:val="clear" w:color="auto" w:fill="EEEEEE"/>
            <w:vAlign w:val="center"/>
            <w:hideMark/>
          </w:tcPr>
          <w:p w:rsidR="00000000" w:rsidRDefault="001C3E58">
            <w:pPr>
              <w:wordWrap w:val="0"/>
              <w:rPr>
                <w:rFonts w:eastAsia="Times New Roman"/>
              </w:rPr>
            </w:pPr>
            <w:r>
              <w:rPr>
                <w:rFonts w:eastAsia="Times New Roman"/>
              </w:rPr>
              <w:t>Подача требований возможна или эмитенту (агенту эмитента), или через депозитарий без блокирования ценных бумаг</w:t>
            </w:r>
          </w:p>
        </w:tc>
      </w:tr>
      <w:tr w:rsidR="00000000">
        <w:trPr>
          <w:tblCellSpacing w:w="7" w:type="dxa"/>
        </w:trPr>
        <w:tc>
          <w:tcPr>
            <w:tcW w:w="0" w:type="auto"/>
            <w:shd w:val="clear" w:color="auto" w:fill="EEEEEE"/>
            <w:vAlign w:val="center"/>
            <w:hideMark/>
          </w:tcPr>
          <w:p w:rsidR="00000000" w:rsidRDefault="001C3E58">
            <w:pPr>
              <w:rPr>
                <w:rFonts w:eastAsia="Times New Roman"/>
              </w:rPr>
            </w:pPr>
            <w:r>
              <w:rPr>
                <w:rFonts w:eastAsia="Times New Roman"/>
              </w:rPr>
              <w:t>Способ удовлетворения инструкций (требований)</w:t>
            </w:r>
          </w:p>
        </w:tc>
        <w:tc>
          <w:tcPr>
            <w:tcW w:w="0" w:type="auto"/>
            <w:shd w:val="clear" w:color="auto" w:fill="EEEEEE"/>
            <w:vAlign w:val="center"/>
            <w:hideMark/>
          </w:tcPr>
          <w:p w:rsidR="00000000" w:rsidRDefault="001C3E58">
            <w:pPr>
              <w:wordWrap w:val="0"/>
              <w:rPr>
                <w:rFonts w:eastAsia="Times New Roman"/>
              </w:rPr>
            </w:pPr>
            <w:r>
              <w:rPr>
                <w:rFonts w:eastAsia="Times New Roman"/>
              </w:rPr>
              <w:t>Удовлетворение инструкций (требований) по корпоративному действию единовременно</w:t>
            </w:r>
          </w:p>
        </w:tc>
      </w:tr>
      <w:tr w:rsidR="00000000">
        <w:trPr>
          <w:tblCellSpacing w:w="7" w:type="dxa"/>
        </w:trPr>
        <w:tc>
          <w:tcPr>
            <w:tcW w:w="0" w:type="auto"/>
            <w:shd w:val="clear" w:color="auto" w:fill="EEEEEE"/>
            <w:vAlign w:val="center"/>
            <w:hideMark/>
          </w:tcPr>
          <w:p w:rsidR="00000000" w:rsidRDefault="001C3E58">
            <w:pPr>
              <w:rPr>
                <w:rFonts w:eastAsia="Times New Roman"/>
              </w:rPr>
            </w:pPr>
            <w:r>
              <w:rPr>
                <w:rFonts w:eastAsia="Times New Roman"/>
              </w:rPr>
              <w:t>Цена приобретения</w:t>
            </w:r>
            <w:r>
              <w:rPr>
                <w:rFonts w:eastAsia="Times New Roman"/>
              </w:rPr>
              <w:t xml:space="preserve">/досрочного погашения от номинальной стоимости (в процентах) </w:t>
            </w:r>
          </w:p>
        </w:tc>
        <w:tc>
          <w:tcPr>
            <w:tcW w:w="0" w:type="auto"/>
            <w:shd w:val="clear" w:color="auto" w:fill="EEEEEE"/>
            <w:vAlign w:val="center"/>
            <w:hideMark/>
          </w:tcPr>
          <w:p w:rsidR="00000000" w:rsidRDefault="001C3E58">
            <w:pPr>
              <w:wordWrap w:val="0"/>
              <w:rPr>
                <w:rFonts w:eastAsia="Times New Roman"/>
              </w:rPr>
            </w:pPr>
            <w:r>
              <w:rPr>
                <w:rFonts w:eastAsia="Times New Roman"/>
              </w:rPr>
              <w:t>100</w:t>
            </w:r>
          </w:p>
        </w:tc>
      </w:tr>
      <w:tr w:rsidR="00000000">
        <w:trPr>
          <w:tblCellSpacing w:w="7" w:type="dxa"/>
        </w:trPr>
        <w:tc>
          <w:tcPr>
            <w:tcW w:w="0" w:type="auto"/>
            <w:shd w:val="clear" w:color="auto" w:fill="EEEEEE"/>
            <w:vAlign w:val="center"/>
            <w:hideMark/>
          </w:tcPr>
          <w:p w:rsidR="00000000" w:rsidRDefault="001C3E58">
            <w:pPr>
              <w:rPr>
                <w:rFonts w:eastAsia="Times New Roman"/>
              </w:rPr>
            </w:pPr>
            <w:r>
              <w:rPr>
                <w:rFonts w:eastAsia="Times New Roman"/>
              </w:rPr>
              <w:t xml:space="preserve">Валюта платежа </w:t>
            </w:r>
          </w:p>
        </w:tc>
        <w:tc>
          <w:tcPr>
            <w:tcW w:w="0" w:type="auto"/>
            <w:shd w:val="clear" w:color="auto" w:fill="EEEEEE"/>
            <w:vAlign w:val="center"/>
            <w:hideMark/>
          </w:tcPr>
          <w:p w:rsidR="00000000" w:rsidRDefault="001C3E58">
            <w:pPr>
              <w:wordWrap w:val="0"/>
              <w:rPr>
                <w:rFonts w:eastAsia="Times New Roman"/>
              </w:rPr>
            </w:pPr>
            <w:r>
              <w:rPr>
                <w:rFonts w:eastAsia="Times New Roman"/>
              </w:rPr>
              <w:t>RUB</w:t>
            </w:r>
          </w:p>
        </w:tc>
      </w:tr>
      <w:tr w:rsidR="00000000">
        <w:trPr>
          <w:tblCellSpacing w:w="7" w:type="dxa"/>
        </w:trPr>
        <w:tc>
          <w:tcPr>
            <w:tcW w:w="0" w:type="auto"/>
            <w:shd w:val="clear" w:color="auto" w:fill="EEEEEE"/>
            <w:vAlign w:val="center"/>
            <w:hideMark/>
          </w:tcPr>
          <w:p w:rsidR="00000000" w:rsidRDefault="001C3E58">
            <w:pPr>
              <w:rPr>
                <w:rFonts w:eastAsia="Times New Roman"/>
              </w:rPr>
            </w:pPr>
            <w:r>
              <w:rPr>
                <w:rFonts w:eastAsia="Times New Roman"/>
              </w:rPr>
              <w:lastRenderedPageBreak/>
              <w:t>Описание порядка определения цены</w:t>
            </w:r>
          </w:p>
        </w:tc>
        <w:tc>
          <w:tcPr>
            <w:tcW w:w="0" w:type="auto"/>
            <w:shd w:val="clear" w:color="auto" w:fill="EEEEEE"/>
            <w:vAlign w:val="center"/>
            <w:hideMark/>
          </w:tcPr>
          <w:p w:rsidR="00000000" w:rsidRDefault="001C3E58">
            <w:pPr>
              <w:wordWrap w:val="0"/>
              <w:rPr>
                <w:rFonts w:eastAsia="Times New Roman"/>
              </w:rPr>
            </w:pPr>
            <w:r>
              <w:rPr>
                <w:rFonts w:eastAsia="Times New Roman"/>
              </w:rPr>
              <w:t>НКД = Nom * Cj * (Т - T(j-1)) / 365 / 100%, &lt;br/&gt;где&lt;br/&gt;НКД - накопленный купонный доход, руб.;&lt;br/&gt;j - порядковый номер текущего куп</w:t>
            </w:r>
            <w:r>
              <w:rPr>
                <w:rFonts w:eastAsia="Times New Roman"/>
              </w:rPr>
              <w:t>онного периода, j = 1 - 20;&lt;br/&gt;Nom – непогашенная часть номинальной стоимости одной Биржевой облигации, руб.;&lt;br/&gt;Cj - размер процентной ставки j - того купона в процентах годовых (%);&lt;br/&gt;Т - дата расчета накопленного купонного дохода внутри j - купонног</w:t>
            </w:r>
            <w:r>
              <w:rPr>
                <w:rFonts w:eastAsia="Times New Roman"/>
              </w:rPr>
              <w:t xml:space="preserve">о периода, являющаяся датой досрочного погашения Биржевых облигаций;&lt;br/&gt;T(j-1) - дата начала купонного периода j - того купона (для случая первого купонного периода Т(j-1) – это дата начала размещения Биржевых облигаций). &lt;br/&gt;&lt;br/&gt;Сумма НКД определяется </w:t>
            </w:r>
            <w:r>
              <w:rPr>
                <w:rFonts w:eastAsia="Times New Roman"/>
              </w:rPr>
              <w:t>с точностью до одной копейки, округление цифр при расчете производится по правилам математического округления. При этом под правилами математического округления следует понимать метод округления, при котором значение целой копейки (целых копеек) не изменяе</w:t>
            </w:r>
            <w:r>
              <w:rPr>
                <w:rFonts w:eastAsia="Times New Roman"/>
              </w:rPr>
              <w:t>тся, если первая за округляемой цифра находится в промежутке от 0 до 4, и увеличивается на единицу, если первая за округляемой цифра находится в промежутке от 5 до 9.</w:t>
            </w:r>
          </w:p>
        </w:tc>
      </w:tr>
      <w:tr w:rsidR="00000000">
        <w:trPr>
          <w:tblCellSpacing w:w="7" w:type="dxa"/>
        </w:trPr>
        <w:tc>
          <w:tcPr>
            <w:tcW w:w="0" w:type="auto"/>
            <w:shd w:val="clear" w:color="auto" w:fill="EEEEEE"/>
            <w:vAlign w:val="center"/>
            <w:hideMark/>
          </w:tcPr>
          <w:p w:rsidR="00000000" w:rsidRDefault="001C3E58">
            <w:pPr>
              <w:rPr>
                <w:rFonts w:eastAsia="Times New Roman"/>
              </w:rPr>
            </w:pPr>
            <w:r>
              <w:rPr>
                <w:rFonts w:eastAsia="Times New Roman"/>
              </w:rPr>
              <w:t>Период действия предложения</w:t>
            </w:r>
          </w:p>
        </w:tc>
        <w:tc>
          <w:tcPr>
            <w:tcW w:w="0" w:type="auto"/>
            <w:shd w:val="clear" w:color="auto" w:fill="EEEEEE"/>
            <w:vAlign w:val="center"/>
            <w:hideMark/>
          </w:tcPr>
          <w:p w:rsidR="00000000" w:rsidRDefault="001C3E58">
            <w:pPr>
              <w:wordWrap w:val="0"/>
              <w:rPr>
                <w:rFonts w:eastAsia="Times New Roman"/>
              </w:rPr>
            </w:pPr>
            <w:r>
              <w:rPr>
                <w:rFonts w:eastAsia="Times New Roman"/>
              </w:rPr>
              <w:t>с 19 мая 2025 г. по 23 мая 2025 г.</w:t>
            </w:r>
          </w:p>
        </w:tc>
      </w:tr>
      <w:tr w:rsidR="00000000">
        <w:trPr>
          <w:tblCellSpacing w:w="7" w:type="dxa"/>
        </w:trPr>
        <w:tc>
          <w:tcPr>
            <w:tcW w:w="0" w:type="auto"/>
            <w:shd w:val="clear" w:color="auto" w:fill="EEEEEE"/>
            <w:vAlign w:val="center"/>
            <w:hideMark/>
          </w:tcPr>
          <w:p w:rsidR="00000000" w:rsidRDefault="001C3E58">
            <w:pPr>
              <w:rPr>
                <w:rFonts w:eastAsia="Times New Roman"/>
              </w:rPr>
            </w:pPr>
            <w:r>
              <w:rPr>
                <w:rFonts w:eastAsia="Times New Roman"/>
              </w:rP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000000" w:rsidRDefault="001C3E58">
            <w:pPr>
              <w:wordWrap w:val="0"/>
              <w:rPr>
                <w:rFonts w:eastAsia="Times New Roman"/>
              </w:rPr>
            </w:pPr>
            <w:r>
              <w:rPr>
                <w:rFonts w:eastAsia="Times New Roman"/>
              </w:rPr>
              <w:t>23 мая 2025 г.</w:t>
            </w:r>
          </w:p>
        </w:tc>
      </w:tr>
      <w:tr w:rsidR="00000000">
        <w:trPr>
          <w:tblCellSpacing w:w="7" w:type="dxa"/>
        </w:trPr>
        <w:tc>
          <w:tcPr>
            <w:tcW w:w="0" w:type="auto"/>
            <w:shd w:val="clear" w:color="auto" w:fill="EEEEEE"/>
            <w:vAlign w:val="center"/>
            <w:hideMark/>
          </w:tcPr>
          <w:p w:rsidR="00000000" w:rsidRDefault="001C3E58">
            <w:pPr>
              <w:rPr>
                <w:rFonts w:eastAsia="Times New Roman"/>
              </w:rPr>
            </w:pPr>
            <w:r>
              <w:rPr>
                <w:rFonts w:eastAsia="Times New Roman"/>
              </w:rPr>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000000" w:rsidRDefault="001C3E58">
            <w:pPr>
              <w:wordWrap w:val="0"/>
              <w:rPr>
                <w:rFonts w:eastAsia="Times New Roman"/>
              </w:rPr>
            </w:pPr>
            <w:r>
              <w:rPr>
                <w:rFonts w:eastAsia="Times New Roman"/>
              </w:rPr>
              <w:t>23 мая 2025 г. 16:00</w:t>
            </w:r>
          </w:p>
        </w:tc>
      </w:tr>
      <w:tr w:rsidR="00000000">
        <w:trPr>
          <w:tblCellSpacing w:w="7" w:type="dxa"/>
        </w:trPr>
        <w:tc>
          <w:tcPr>
            <w:tcW w:w="0" w:type="auto"/>
            <w:shd w:val="clear" w:color="auto" w:fill="EEEEEE"/>
            <w:vAlign w:val="center"/>
            <w:hideMark/>
          </w:tcPr>
          <w:p w:rsidR="00000000" w:rsidRDefault="001C3E58">
            <w:pPr>
              <w:rPr>
                <w:rFonts w:eastAsia="Times New Roman"/>
              </w:rPr>
            </w:pPr>
            <w:r>
              <w:rPr>
                <w:rFonts w:eastAsia="Times New Roman"/>
              </w:rPr>
              <w:t>Максимальное кол</w:t>
            </w:r>
            <w:r>
              <w:rPr>
                <w:rFonts w:eastAsia="Times New Roman"/>
              </w:rPr>
              <w:t>ичество облигаций, приобретаемых/погашаемых эмитентом</w:t>
            </w:r>
          </w:p>
        </w:tc>
        <w:tc>
          <w:tcPr>
            <w:tcW w:w="0" w:type="auto"/>
            <w:shd w:val="clear" w:color="auto" w:fill="EEEEEE"/>
            <w:vAlign w:val="center"/>
            <w:hideMark/>
          </w:tcPr>
          <w:p w:rsidR="00000000" w:rsidRDefault="001C3E58">
            <w:pPr>
              <w:wordWrap w:val="0"/>
              <w:rPr>
                <w:rFonts w:eastAsia="Times New Roman"/>
              </w:rPr>
            </w:pPr>
            <w:r>
              <w:rPr>
                <w:rFonts w:eastAsia="Times New Roman"/>
              </w:rPr>
              <w:t>Любое количество</w:t>
            </w:r>
          </w:p>
        </w:tc>
      </w:tr>
    </w:tbl>
    <w:p w:rsidR="00000000" w:rsidRDefault="001C3E5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240"/>
        <w:gridCol w:w="7115"/>
      </w:tblGrid>
      <w:tr w:rsidR="00000000">
        <w:trPr>
          <w:tblHeader/>
          <w:tblCellSpacing w:w="7" w:type="dxa"/>
        </w:trPr>
        <w:tc>
          <w:tcPr>
            <w:tcW w:w="0" w:type="auto"/>
            <w:gridSpan w:val="2"/>
            <w:shd w:val="clear" w:color="auto" w:fill="BBBBBB"/>
            <w:vAlign w:val="center"/>
            <w:hideMark/>
          </w:tcPr>
          <w:p w:rsidR="00000000" w:rsidRDefault="001C3E58">
            <w:pPr>
              <w:jc w:val="center"/>
              <w:rPr>
                <w:rFonts w:eastAsia="Times New Roman"/>
                <w:b/>
                <w:bCs/>
              </w:rPr>
            </w:pPr>
            <w:r>
              <w:rPr>
                <w:rFonts w:eastAsia="Times New Roman"/>
                <w:b/>
                <w:bCs/>
              </w:rPr>
              <w:t>Параметры отмены</w:t>
            </w:r>
          </w:p>
        </w:tc>
      </w:tr>
      <w:tr w:rsidR="00000000">
        <w:trPr>
          <w:tblCellSpacing w:w="7" w:type="dxa"/>
        </w:trPr>
        <w:tc>
          <w:tcPr>
            <w:tcW w:w="0" w:type="auto"/>
            <w:shd w:val="clear" w:color="auto" w:fill="EEEEEE"/>
            <w:vAlign w:val="center"/>
            <w:hideMark/>
          </w:tcPr>
          <w:p w:rsidR="00000000" w:rsidRDefault="001C3E58">
            <w:pPr>
              <w:rPr>
                <w:rFonts w:eastAsia="Times New Roman"/>
              </w:rPr>
            </w:pPr>
            <w:r>
              <w:rPr>
                <w:rFonts w:eastAsia="Times New Roman"/>
              </w:rPr>
              <w:t>Причина отмены</w:t>
            </w:r>
          </w:p>
        </w:tc>
        <w:tc>
          <w:tcPr>
            <w:tcW w:w="0" w:type="auto"/>
            <w:shd w:val="clear" w:color="auto" w:fill="EEEEEE"/>
            <w:vAlign w:val="center"/>
            <w:hideMark/>
          </w:tcPr>
          <w:p w:rsidR="00000000" w:rsidRDefault="001C3E58">
            <w:pPr>
              <w:rPr>
                <w:rFonts w:eastAsia="Times New Roman"/>
              </w:rPr>
            </w:pPr>
            <w:r>
              <w:rPr>
                <w:rFonts w:eastAsia="Times New Roman"/>
              </w:rPr>
              <w:t>Отмена инициатором</w:t>
            </w:r>
          </w:p>
        </w:tc>
      </w:tr>
      <w:tr w:rsidR="00000000">
        <w:trPr>
          <w:tblCellSpacing w:w="7" w:type="dxa"/>
        </w:trPr>
        <w:tc>
          <w:tcPr>
            <w:tcW w:w="0" w:type="auto"/>
            <w:shd w:val="clear" w:color="auto" w:fill="EEEEEE"/>
            <w:vAlign w:val="center"/>
            <w:hideMark/>
          </w:tcPr>
          <w:p w:rsidR="00000000" w:rsidRDefault="001C3E58">
            <w:pPr>
              <w:rPr>
                <w:rFonts w:eastAsia="Times New Roman"/>
              </w:rPr>
            </w:pPr>
            <w:r>
              <w:rPr>
                <w:rFonts w:eastAsia="Times New Roman"/>
              </w:rPr>
              <w:t>Дополнительная информация</w:t>
            </w:r>
          </w:p>
        </w:tc>
        <w:tc>
          <w:tcPr>
            <w:tcW w:w="0" w:type="auto"/>
            <w:shd w:val="clear" w:color="auto" w:fill="EEEEEE"/>
            <w:vAlign w:val="center"/>
            <w:hideMark/>
          </w:tcPr>
          <w:p w:rsidR="00000000" w:rsidRDefault="001C3E58">
            <w:pPr>
              <w:rPr>
                <w:rFonts w:eastAsia="Times New Roman"/>
              </w:rPr>
            </w:pPr>
            <w:r>
              <w:rPr>
                <w:rFonts w:eastAsia="Times New Roman"/>
              </w:rPr>
              <w:t xml:space="preserve">КД отменено в связи с исполнением Эмитентом обязательств по досрочному погашению биржевых </w:t>
            </w:r>
            <w:r>
              <w:rPr>
                <w:rFonts w:eastAsia="Times New Roman"/>
              </w:rPr>
              <w:t>облигаций 4B02-07-29031-H / ISIN RU000A0JXSF8</w:t>
            </w:r>
          </w:p>
        </w:tc>
      </w:tr>
    </w:tbl>
    <w:p w:rsidR="00000000" w:rsidRDefault="001C3E58">
      <w:pPr>
        <w:rPr>
          <w:rFonts w:eastAsia="Times New Roman"/>
        </w:rPr>
      </w:pPr>
    </w:p>
    <w:p w:rsidR="00000000" w:rsidRDefault="001C3E58">
      <w:pPr>
        <w:pStyle w:val="a3"/>
      </w:pPr>
      <w:r>
        <w:t>813113724</w:t>
      </w:r>
    </w:p>
    <w:p w:rsidR="00000000" w:rsidRDefault="001C3E58">
      <w:pPr>
        <w:pStyle w:val="a3"/>
      </w:pPr>
      <w:r>
        <w:t xml:space="preserve">Приложение 1: </w:t>
      </w:r>
      <w:hyperlink r:id="rId4" w:tgtFrame="_blank" w:history="1">
        <w:r>
          <w:rPr>
            <w:rStyle w:val="a4"/>
          </w:rPr>
          <w:t>Адрес в сети Интернет, по которому можно ознакомиться с дополнит</w:t>
        </w:r>
        <w:r>
          <w:rPr>
            <w:rStyle w:val="a4"/>
          </w:rPr>
          <w:t>ельной документацией</w:t>
        </w:r>
      </w:hyperlink>
    </w:p>
    <w:p w:rsidR="00000000" w:rsidRDefault="001C3E58">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1C3E58">
      <w:pPr>
        <w:rPr>
          <w:rFonts w:eastAsia="Times New Roman"/>
        </w:rPr>
      </w:pPr>
      <w:r>
        <w:rPr>
          <w:rFonts w:eastAsia="Times New Roman"/>
        </w:rPr>
        <w:lastRenderedPageBreak/>
        <w:br/>
      </w:r>
    </w:p>
    <w:p w:rsidR="001C3E58" w:rsidRDefault="001C3E58">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1C3E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55D0C"/>
    <w:rsid w:val="001C3E58"/>
    <w:rsid w:val="00955D0C"/>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23F65B-225B-4C34-B57E-DFD79BF6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5116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dadf584ffb5d43a886c349e8a49fd9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2025-05-23T10:39:00Z</dcterms:created>
  <dcterms:modified xsi:type="dcterms:W3CDTF">2025-05-23T10:39:00Z</dcterms:modified>
</cp:coreProperties>
</file>