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55FE">
      <w:pPr>
        <w:pStyle w:val="a3"/>
        <w:divId w:val="11425767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257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95332237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</w:p>
        </w:tc>
      </w:tr>
      <w:tr w:rsidR="00000000">
        <w:trPr>
          <w:divId w:val="114257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</w:p>
        </w:tc>
      </w:tr>
      <w:tr w:rsidR="00000000">
        <w:trPr>
          <w:divId w:val="114257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57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55F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5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6E5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</w:p>
        </w:tc>
      </w:tr>
    </w:tbl>
    <w:p w:rsidR="00000000" w:rsidRDefault="006E5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E55FE">
      <w:pPr>
        <w:rPr>
          <w:rFonts w:eastAsia="Times New Roman"/>
        </w:rPr>
      </w:pPr>
    </w:p>
    <w:p w:rsidR="00000000" w:rsidRDefault="006E55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55FE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</w:t>
      </w:r>
      <w:r>
        <w:rPr>
          <w:rFonts w:eastAsia="Times New Roman"/>
        </w:rPr>
        <w:t>ПАО «М.видео» по результатам 2023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 назначении аудиторской организации ПАО «М.видео».</w:t>
      </w:r>
      <w:r>
        <w:rPr>
          <w:rFonts w:eastAsia="Times New Roman"/>
        </w:rPr>
        <w:br/>
        <w:t>4. Об определении количества, номинальной стоимости, категории (типа) объявленных акций ПАО «М.видео» и пр</w:t>
      </w:r>
      <w:r>
        <w:rPr>
          <w:rFonts w:eastAsia="Times New Roman"/>
        </w:rPr>
        <w:t>ав, предоставляемых этими акциями.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</w:p>
    <w:p w:rsidR="00000000" w:rsidRDefault="006E55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55FE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6E55FE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</w:p>
    <w:p w:rsidR="00000000" w:rsidRDefault="006E55FE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6E55FE">
      <w:pPr>
        <w:rPr>
          <w:rFonts w:eastAsia="Times New Roman"/>
        </w:rPr>
      </w:pPr>
      <w:r>
        <w:rPr>
          <w:rFonts w:eastAsia="Times New Roman"/>
        </w:rPr>
        <w:br/>
      </w:r>
    </w:p>
    <w:p w:rsidR="006E55FE" w:rsidRDefault="006E55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6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68B5"/>
    <w:rsid w:val="000968B5"/>
    <w:rsid w:val="006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9559C-E08D-40A5-B78B-FCA96E9F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2024-05-14T05:22:00Z</dcterms:created>
  <dcterms:modified xsi:type="dcterms:W3CDTF">2024-05-14T05:22:00Z</dcterms:modified>
</cp:coreProperties>
</file>