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390">
      <w:pPr>
        <w:pStyle w:val="a3"/>
        <w:divId w:val="21146711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4671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64142088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</w:p>
        </w:tc>
      </w:tr>
      <w:tr w:rsidR="00000000">
        <w:trPr>
          <w:divId w:val="2114671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</w:p>
        </w:tc>
      </w:tr>
      <w:tr w:rsidR="00000000">
        <w:trPr>
          <w:divId w:val="2114671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4671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639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E639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4E63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390">
            <w:pPr>
              <w:rPr>
                <w:rFonts w:eastAsia="Times New Roman"/>
              </w:rPr>
            </w:pPr>
          </w:p>
        </w:tc>
      </w:tr>
    </w:tbl>
    <w:p w:rsidR="00000000" w:rsidRDefault="004E6390">
      <w:pPr>
        <w:rPr>
          <w:rFonts w:eastAsia="Times New Roman"/>
        </w:rPr>
      </w:pPr>
    </w:p>
    <w:p w:rsidR="00000000" w:rsidRDefault="004E63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E6390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E6390">
      <w:pPr>
        <w:pStyle w:val="a3"/>
      </w:pPr>
      <w:r>
        <w:t>Совет директоров принял решение не рекомендовать годовому общему собранию акционеров выпл</w:t>
      </w:r>
      <w:r>
        <w:t xml:space="preserve">ату дивидендов по результатам 2021 года. </w:t>
      </w:r>
    </w:p>
    <w:p w:rsidR="00000000" w:rsidRDefault="004E63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4E63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E6390">
      <w:pPr>
        <w:rPr>
          <w:rFonts w:eastAsia="Times New Roman"/>
        </w:rPr>
      </w:pPr>
      <w:r>
        <w:rPr>
          <w:rFonts w:eastAsia="Times New Roman"/>
        </w:rPr>
        <w:br/>
      </w:r>
    </w:p>
    <w:p w:rsidR="004E6390" w:rsidRDefault="004E6390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B63"/>
    <w:rsid w:val="004E6390"/>
    <w:rsid w:val="00D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0AC7E-67DF-4647-8B90-4F395C8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e4f11ad70b470588bb336c5bd91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2022-03-25T04:20:00Z</dcterms:created>
  <dcterms:modified xsi:type="dcterms:W3CDTF">2022-03-25T04:20:00Z</dcterms:modified>
</cp:coreProperties>
</file>