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ADD">
      <w:pPr>
        <w:pStyle w:val="a3"/>
        <w:divId w:val="148889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8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25366425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</w:p>
        </w:tc>
      </w:tr>
      <w:tr w:rsidR="00000000">
        <w:trPr>
          <w:divId w:val="1488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</w:p>
        </w:tc>
      </w:tr>
      <w:tr w:rsidR="00000000">
        <w:trPr>
          <w:divId w:val="1488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25090649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</w:p>
        </w:tc>
      </w:tr>
      <w:tr w:rsidR="00000000">
        <w:trPr>
          <w:divId w:val="1488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8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A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2A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62A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</w:tbl>
    <w:p w:rsidR="00000000" w:rsidRDefault="00462A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62ADD">
      <w:pPr>
        <w:rPr>
          <w:rFonts w:eastAsia="Times New Roman"/>
        </w:rPr>
      </w:pPr>
    </w:p>
    <w:p w:rsidR="00000000" w:rsidRDefault="00462A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2ADD">
      <w:pPr>
        <w:rPr>
          <w:rFonts w:eastAsia="Times New Roman"/>
        </w:rPr>
      </w:pPr>
      <w:r>
        <w:rPr>
          <w:rFonts w:eastAsia="Times New Roman"/>
        </w:rPr>
        <w:t xml:space="preserve">1.Утверждение размера дивидендов по акциям Общества по результатам девяти месяцев 2017 года, формы их выплаты, даты, на которую определяются лица, имеющие право на получение дивидендов. </w:t>
      </w:r>
    </w:p>
    <w:p w:rsidR="00000000" w:rsidRDefault="00462A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акционеров. </w:t>
      </w:r>
    </w:p>
    <w:p w:rsidR="00000000" w:rsidRDefault="00462ADD">
      <w:pPr>
        <w:pStyle w:val="a3"/>
      </w:pPr>
      <w:r>
        <w:t>Направляем Вам поступившую в НКО АО НР</w:t>
      </w:r>
      <w:r>
        <w:t>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462A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462ADD" w:rsidRDefault="00462A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46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2836"/>
    <w:rsid w:val="00212836"/>
    <w:rsid w:val="0046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fdde357f0c41dda6225133e0518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2017-11-07T05:39:00Z</dcterms:created>
  <dcterms:modified xsi:type="dcterms:W3CDTF">2017-11-07T05:39:00Z</dcterms:modified>
</cp:coreProperties>
</file>