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D6835">
      <w:pPr>
        <w:pStyle w:val="a3"/>
        <w:divId w:val="992178458"/>
      </w:pPr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9921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28884913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</w:tr>
      <w:tr w:rsidR="00000000">
        <w:trPr>
          <w:divId w:val="9921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</w:tr>
      <w:tr w:rsidR="00000000">
        <w:trPr>
          <w:divId w:val="9921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28403898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</w:tr>
      <w:tr w:rsidR="00000000">
        <w:trPr>
          <w:divId w:val="9921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9217845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ED6835">
      <w:pPr>
        <w:pStyle w:val="1"/>
        <w:rPr>
          <w:rFonts w:eastAsia="Times New Roman"/>
        </w:rPr>
      </w:pPr>
      <w:r>
        <w:rPr>
          <w:rFonts w:eastAsia="Times New Roman"/>
        </w:rPr>
        <w:t>(MEET) О прошедшем корпоративном действии "Годовое общее собрание акционеров" с ценными бумагами эмитента ПАО "Квадра" ИНН 6829012680 (акции 1-01-43069-A / ISIN RU000A0JNMZ0), ПАО "Квадра" ИНН 6829012680 (акции 2-01-43069-A / ISIN RU000</w:t>
      </w:r>
      <w:r>
        <w:rPr>
          <w:rFonts w:eastAsia="Times New Roman"/>
        </w:rPr>
        <w:t xml:space="preserve">A0JNNB9)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520"/>
        <w:gridCol w:w="586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348915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июня 2018 г. 13:00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мая 2018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Очная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Место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Тульская область, г.Тула, ул.Тимирязева, д.99в, актовый зал</w:t>
            </w:r>
          </w:p>
        </w:tc>
      </w:tr>
    </w:tbl>
    <w:p w:rsidR="00000000" w:rsidRDefault="00ED68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24"/>
        <w:gridCol w:w="1033"/>
        <w:gridCol w:w="1215"/>
        <w:gridCol w:w="1215"/>
        <w:gridCol w:w="1366"/>
        <w:gridCol w:w="1154"/>
        <w:gridCol w:w="1154"/>
        <w:gridCol w:w="1322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348915X7676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RU000A0JNMZ0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348915X7708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"Квадра-Генерирующая компания"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2-01-43069-A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августа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RU000A0JNNB9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ED683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573"/>
        <w:gridCol w:w="6229"/>
        <w:gridCol w:w="158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ED683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Годовой отчет, годовую бухгалтерскую (финансовую) отчетность Общества за 2017 год.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1242237017610</w:t>
            </w:r>
            <w:r>
              <w:rPr>
                <w:rFonts w:eastAsia="Times New Roman"/>
              </w:rPr>
              <w:br/>
              <w:t>Против: 12002351</w:t>
            </w:r>
            <w:r>
              <w:rPr>
                <w:rFonts w:eastAsia="Times New Roman"/>
              </w:rPr>
              <w:br/>
              <w:t>Воздержался: 40254370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следующее распределение прибыли Общества по результатам 2017 отчетного года: - нераспределенную прибыль отчетного периода в сумме 602 303 7</w:t>
            </w:r>
            <w:r>
              <w:rPr>
                <w:rFonts w:eastAsia="Times New Roman"/>
              </w:rPr>
              <w:t xml:space="preserve">97 (Шестьсот два миллиона триста три тысячи семьсот девяносто семь) рублей распределить на: (руб.) Резервный фонд 30 115 189,85 Дивиденды 0 Погашение убытков прошлых лет 572 188 607,15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1242217267730</w:t>
            </w:r>
            <w:r>
              <w:rPr>
                <w:rFonts w:eastAsia="Times New Roman"/>
              </w:rPr>
              <w:br/>
              <w:t>Против: 62908103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88950145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обыкновенным акциям Общества по результатам 2017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1242150787308</w:t>
            </w:r>
            <w:r>
              <w:rPr>
                <w:rFonts w:eastAsia="Times New Roman"/>
              </w:rPr>
              <w:br/>
              <w:t>Против: 95374985</w:t>
            </w:r>
            <w:r>
              <w:rPr>
                <w:rFonts w:eastAsia="Times New Roman"/>
              </w:rPr>
              <w:br/>
              <w:t>Воздержался: 123034525</w:t>
            </w:r>
            <w:r>
              <w:rPr>
                <w:rFonts w:eastAsia="Times New Roman"/>
              </w:rPr>
              <w:br/>
              <w:t>Не участвовало:</w:t>
            </w:r>
            <w:r>
              <w:rPr>
                <w:rFonts w:eastAsia="Times New Roman"/>
              </w:rPr>
              <w:t xml:space="preserve">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 выплачивать дивиденды по привилегированным акциям Общества по результатам 2017 отчетного года.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1242178300487</w:t>
            </w:r>
            <w:r>
              <w:rPr>
                <w:rFonts w:eastAsia="Times New Roman"/>
              </w:rPr>
              <w:br/>
              <w:t>Против: 134723007</w:t>
            </w:r>
            <w:r>
              <w:rPr>
                <w:rFonts w:eastAsia="Times New Roman"/>
              </w:rPr>
              <w:br/>
              <w:t>Воздержался: 56069012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Жадовец Евгений Михайлович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575762611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Зеленцова Ксения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1258642172717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Зубков Александр Эдуардович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1258667650472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Кононов Андрей Николаевич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1258878500318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Пахомов Владимир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218128569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Подсыпанин Сергей Сергеевич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1258659645836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Сазонов Семен Викторович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1260273753173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Сенько Валерий Владимирович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26057316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Сосновский Михаил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1259025885592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Тазин Сергей Афанасьевич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1013410850315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Усанов Дмитрий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1352533623204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Филиппов Павел Александрович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1258632023342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Шаршова Наталия Валентиновна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Нет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29070398</w:t>
            </w:r>
            <w:r>
              <w:rPr>
                <w:rFonts w:eastAsia="Times New Roman"/>
              </w:rPr>
              <w:br/>
              <w:t>Против: 0</w:t>
            </w:r>
            <w:r>
              <w:rPr>
                <w:rFonts w:eastAsia="Times New Roman"/>
              </w:rPr>
              <w:br/>
              <w:t>Воздержался: 0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Абрамова Алевтина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1189251967917</w:t>
            </w:r>
            <w:r>
              <w:rPr>
                <w:rFonts w:eastAsia="Times New Roman"/>
              </w:rPr>
              <w:br/>
              <w:t>Против: 11505442</w:t>
            </w:r>
            <w:r>
              <w:rPr>
                <w:rFonts w:eastAsia="Times New Roman"/>
              </w:rPr>
              <w:br/>
              <w:t>Воздержался: 63589591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Не участвовало: 59569076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Ерастова Юлия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1189259715477</w:t>
            </w:r>
            <w:r>
              <w:rPr>
                <w:rFonts w:eastAsia="Times New Roman"/>
              </w:rPr>
              <w:br/>
              <w:t>Против: 4828008</w:t>
            </w:r>
            <w:r>
              <w:rPr>
                <w:rFonts w:eastAsia="Times New Roman"/>
              </w:rPr>
              <w:br/>
              <w:t>Воздержался: 60523591</w:t>
            </w:r>
            <w:r>
              <w:rPr>
                <w:rFonts w:eastAsia="Times New Roman"/>
              </w:rPr>
              <w:br/>
              <w:t>Не участвовало: 59569076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Мюллер-Холтхузен Анастасия Владимировна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1189256838199</w:t>
            </w:r>
            <w:r>
              <w:rPr>
                <w:rFonts w:eastAsia="Times New Roman"/>
              </w:rPr>
              <w:br/>
              <w:t>Против: 7957226</w:t>
            </w:r>
            <w:r>
              <w:rPr>
                <w:rFonts w:eastAsia="Times New Roman"/>
              </w:rPr>
              <w:br/>
              <w:t>Воздержался: 60310744</w:t>
            </w:r>
            <w:r>
              <w:rPr>
                <w:rFonts w:eastAsia="Times New Roman"/>
              </w:rPr>
              <w:br/>
              <w:t>Не участвовало: 59569076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</w:t>
            </w:r>
            <w:r>
              <w:rPr>
                <w:rFonts w:eastAsia="Times New Roman"/>
              </w:rPr>
              <w:t>ании членов Ревизионной комиссии Общества.: Филиппенко Александра Константиновна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1189250422262</w:t>
            </w:r>
            <w:r>
              <w:rPr>
                <w:rFonts w:eastAsia="Times New Roman"/>
              </w:rPr>
              <w:br/>
              <w:t>Против: 11894321</w:t>
            </w:r>
            <w:r>
              <w:rPr>
                <w:rFonts w:eastAsia="Times New Roman"/>
              </w:rPr>
              <w:br/>
              <w:t>Воздержался: 62789833</w:t>
            </w:r>
            <w:r>
              <w:rPr>
                <w:rFonts w:eastAsia="Times New Roman"/>
              </w:rPr>
              <w:br/>
              <w:t>Не участвовало: 59569076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 избрании членов Ревизионной комиссии Общества.: Юшина Ирина Николаевна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1189257203818</w:t>
            </w:r>
            <w:r>
              <w:rPr>
                <w:rFonts w:eastAsia="Times New Roman"/>
              </w:rPr>
              <w:br/>
              <w:t>Против: 5130162</w:t>
            </w:r>
            <w:r>
              <w:rPr>
                <w:rFonts w:eastAsia="Times New Roman"/>
              </w:rPr>
              <w:br/>
              <w:t>Воздержался: 62801799</w:t>
            </w:r>
            <w:r>
              <w:rPr>
                <w:rFonts w:eastAsia="Times New Roman"/>
              </w:rPr>
              <w:br/>
              <w:t>Не участвовало: 59569076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Аудитором Общества Акционерное общество «ПрайсвотерхаусКуперс Аудит».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1242292175899</w:t>
            </w:r>
            <w:r>
              <w:rPr>
                <w:rFonts w:eastAsia="Times New Roman"/>
              </w:rPr>
              <w:br/>
              <w:t>Против: 4849343</w:t>
            </w:r>
            <w:r>
              <w:rPr>
                <w:rFonts w:eastAsia="Times New Roman"/>
              </w:rPr>
              <w:br/>
              <w:t>Воздержался: 67420129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Уменьшить уставный капитал Публичного акционерног</w:t>
            </w:r>
            <w:r>
              <w:rPr>
                <w:rFonts w:eastAsia="Times New Roman"/>
              </w:rPr>
              <w:t>о общества «Квадра – Генерирующая компания» (ПАО «Квадра») на 100 000 (Сто тысяч) рублей путем погашения 10 000 000 (Десять миллионов) обыкновенных именных бездокументарных акций, номинальной стоимостью 0,01 рубля каждая, серии 1-01-43069-А, выкупленных ПА</w:t>
            </w:r>
            <w:r>
              <w:rPr>
                <w:rFonts w:eastAsia="Times New Roman"/>
              </w:rPr>
              <w:t>О «Квадра» по требованию его акционеров в соответствии с законодательством Российской Федерации и Уставом ПАО «Квадра». В результате такого уменьшения уставный капитал ПАО «Квадра» составит 19 877 685 165 (Девятнадцать миллиардов восемьсот семьдесят семь м</w:t>
            </w:r>
            <w:r>
              <w:rPr>
                <w:rFonts w:eastAsia="Times New Roman"/>
              </w:rPr>
              <w:t>иллионов шестьсот восемьдесят пять тысяч сто шестьдесят пять) рублей 97 (Девяносто семь) копеек и будет состоять из: 1 912 495 577 759 (Один триллион девятьсот двенадцать миллиардов четыреста девяносто пять миллионов пятьсот семьдесят семь тысяч семьсот пя</w:t>
            </w:r>
            <w:r>
              <w:rPr>
                <w:rFonts w:eastAsia="Times New Roman"/>
              </w:rPr>
              <w:t xml:space="preserve">тьдесят девять) обыкновенных именных акций номинальной стоимостью 0,01 (Ноль целых одна сотая) рубля каждая; 75 272 938 838 (Семьдесят пять миллиардов двести семьдесят два миллиона девятьсот тридцать во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1242198411584</w:t>
            </w:r>
            <w:r>
              <w:rPr>
                <w:rFonts w:eastAsia="Times New Roman"/>
              </w:rPr>
              <w:br/>
              <w:t>Против: 7478249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t>Воздержался: 158982465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Утвердить Устав ПАО «Квадра» в новой редакции (редакция № 9). 2. Определить, что Устав ПАО «Квадра» в новой редакции (редакция № 9) вступает в силу с момента его государственной ре</w:t>
            </w:r>
            <w:r>
              <w:rPr>
                <w:rFonts w:eastAsia="Times New Roman"/>
              </w:rPr>
              <w:t xml:space="preserve">гистрации.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ED683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1242275388165</w:t>
            </w:r>
            <w:r>
              <w:rPr>
                <w:rFonts w:eastAsia="Times New Roman"/>
              </w:rPr>
              <w:br/>
              <w:t>Против: 3622354</w:t>
            </w:r>
            <w:r>
              <w:rPr>
                <w:rFonts w:eastAsia="Times New Roman"/>
              </w:rPr>
              <w:br/>
              <w:t>Воздержался: 78387252</w:t>
            </w:r>
            <w:r>
              <w:rPr>
                <w:rFonts w:eastAsia="Times New Roman"/>
              </w:rPr>
              <w:br/>
              <w:t>Не участвовало: 0</w:t>
            </w:r>
          </w:p>
        </w:tc>
      </w:tr>
    </w:tbl>
    <w:p w:rsidR="00000000" w:rsidRDefault="00ED6835">
      <w:pPr>
        <w:rPr>
          <w:rFonts w:eastAsia="Times New Roman"/>
        </w:rPr>
      </w:pPr>
    </w:p>
    <w:p w:rsidR="00000000" w:rsidRDefault="00ED6835">
      <w:pPr>
        <w:pStyle w:val="a3"/>
      </w:pPr>
      <w:r>
        <w:t xml:space="preserve">Настоящим сообщаем о получении НКО АО НРД информации, </w:t>
      </w:r>
      <w:r>
        <w:t>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</w:t>
      </w:r>
      <w:r>
        <w:t xml:space="preserve">вления, а также о требованиях к порядку предоставления центральным депозитарием доступа к такой информации". </w:t>
      </w:r>
    </w:p>
    <w:p w:rsidR="00000000" w:rsidRDefault="00ED6835">
      <w:pPr>
        <w:pStyle w:val="a3"/>
      </w:pPr>
      <w:r>
        <w:t>4.10. Информация о решениях, принятых общим собранием акционеров, а также об итогах голосования на общем собрании акционеров.</w:t>
      </w:r>
    </w:p>
    <w:p w:rsidR="00000000" w:rsidRDefault="00ED6835">
      <w:pPr>
        <w:pStyle w:val="a3"/>
      </w:pPr>
      <w:r>
        <w:t>Направляем Вам посту</w:t>
      </w:r>
      <w:r>
        <w:t>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действии, согласно п. 4 ст. 62 Федерального закона от 26 декабря 1995 года №208-ФЗ «Об акционерных обществах</w:t>
      </w:r>
      <w:r>
        <w:t>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000000" w:rsidRDefault="00ED6835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</w:t>
        </w:r>
        <w:r>
          <w:rPr>
            <w:rStyle w:val="a4"/>
          </w:rPr>
          <w:t>жно ознакомиться с дополнительной документацией</w:t>
        </w:r>
      </w:hyperlink>
    </w:p>
    <w:p w:rsidR="00ED6835" w:rsidRDefault="00ED683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</w:t>
      </w:r>
      <w:r>
        <w:t>956-27-90, (495) 956-27-91</w:t>
      </w:r>
    </w:p>
    <w:sectPr w:rsidR="00ED6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743568"/>
    <w:rsid w:val="00743568"/>
    <w:rsid w:val="00ED6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2178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3976ddeb2118459e88c6c66bb4bb158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1242</Words>
  <Characters>7081</Characters>
  <Application>Microsoft Office Word</Application>
  <DocSecurity>0</DocSecurity>
  <Lines>59</Lines>
  <Paragraphs>16</Paragraphs>
  <ScaleCrop>false</ScaleCrop>
  <Company/>
  <LinksUpToDate>false</LinksUpToDate>
  <CharactersWithSpaces>8307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2018-06-27T04:59:00Z</dcterms:created>
  <dcterms:modified xsi:type="dcterms:W3CDTF">2018-06-27T04:59:00Z</dcterms:modified>
</cp:coreProperties>
</file>