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0652">
      <w:pPr>
        <w:pStyle w:val="a3"/>
        <w:divId w:val="13353019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530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76463369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</w:p>
        </w:tc>
      </w:tr>
      <w:tr w:rsidR="00000000">
        <w:trPr>
          <w:divId w:val="133530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</w:p>
        </w:tc>
      </w:tr>
      <w:tr w:rsidR="00000000">
        <w:trPr>
          <w:divId w:val="133530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76312912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</w:p>
        </w:tc>
      </w:tr>
      <w:tr w:rsidR="00000000">
        <w:trPr>
          <w:divId w:val="133530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5301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065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(акции 10401000B / ISIN RU000A0JP5V6, 10401000B004D / ISIN RU000A105TE5)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306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306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6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6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130652">
      <w:pPr>
        <w:rPr>
          <w:rFonts w:eastAsia="Times New Roman"/>
        </w:rPr>
      </w:pPr>
    </w:p>
    <w:p w:rsidR="00000000" w:rsidRDefault="001306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0652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Банка ВТБ (ПАО) путем размещения дополнительных обыкновенных акций. </w:t>
      </w:r>
    </w:p>
    <w:p w:rsidR="00000000" w:rsidRDefault="00130652">
      <w:pPr>
        <w:pStyle w:val="a3"/>
      </w:pPr>
      <w:r>
        <w:t>Электронная форма бюллетеней д</w:t>
      </w:r>
      <w:r>
        <w:t xml:space="preserve">ля голосования может быть заполнена в срок по 24 апреля 2023 года включительно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акционеров. </w:t>
      </w:r>
    </w:p>
    <w:p w:rsidR="00000000" w:rsidRDefault="00130652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30652">
      <w:pPr>
        <w:rPr>
          <w:rFonts w:eastAsia="Times New Roman"/>
        </w:rPr>
      </w:pPr>
      <w:r>
        <w:rPr>
          <w:rFonts w:eastAsia="Times New Roman"/>
        </w:rPr>
        <w:br/>
      </w:r>
    </w:p>
    <w:p w:rsidR="00130652" w:rsidRDefault="00130652">
      <w:pPr>
        <w:pStyle w:val="HTML"/>
      </w:pPr>
      <w:r>
        <w:t>Настоящий документ является визуализир</w:t>
      </w:r>
      <w:r>
        <w:t>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9F5"/>
    <w:rsid w:val="00130652"/>
    <w:rsid w:val="006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603A53-40B5-42D7-B432-86BB217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2023-03-27T04:25:00Z</dcterms:created>
  <dcterms:modified xsi:type="dcterms:W3CDTF">2023-03-27T04:25:00Z</dcterms:modified>
</cp:coreProperties>
</file>