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65BD">
      <w:pPr>
        <w:pStyle w:val="a3"/>
        <w:divId w:val="6287114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2871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25849458</w:t>
            </w:r>
          </w:p>
        </w:tc>
        <w:tc>
          <w:tcPr>
            <w:tcW w:w="0" w:type="auto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</w:p>
        </w:tc>
      </w:tr>
      <w:tr w:rsidR="00000000">
        <w:trPr>
          <w:divId w:val="62871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</w:p>
        </w:tc>
      </w:tr>
      <w:tr w:rsidR="00000000">
        <w:trPr>
          <w:divId w:val="62871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25794544</w:t>
            </w:r>
          </w:p>
        </w:tc>
        <w:tc>
          <w:tcPr>
            <w:tcW w:w="0" w:type="auto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</w:p>
        </w:tc>
      </w:tr>
      <w:tr w:rsidR="00000000">
        <w:trPr>
          <w:divId w:val="62871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871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365B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36"/>
        <w:gridCol w:w="62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5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320611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5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5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января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5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173012, Российская Федерация, город Великий Новгород, ПАО «Акрон» (соб</w:t>
            </w:r>
            <w:r>
              <w:rPr>
                <w:rFonts w:eastAsia="Times New Roman"/>
              </w:rPr>
              <w:br/>
              <w:t>рание).</w:t>
            </w:r>
          </w:p>
        </w:tc>
      </w:tr>
    </w:tbl>
    <w:p w:rsidR="00000000" w:rsidRDefault="00F365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3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320611X6996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F365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75"/>
        <w:gridCol w:w="26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65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января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65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65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65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65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no_e-proxy-voting</w:t>
            </w:r>
            <w:r>
              <w:rPr>
                <w:rFonts w:eastAsia="Times New Roman"/>
              </w:rPr>
              <w:br/>
              <w:t xml:space="preserve">Web-кабинет: </w:t>
            </w:r>
          </w:p>
        </w:tc>
      </w:tr>
    </w:tbl>
    <w:p w:rsidR="00000000" w:rsidRDefault="00F365BD">
      <w:pPr>
        <w:rPr>
          <w:rFonts w:eastAsia="Times New Roman"/>
        </w:rPr>
      </w:pPr>
    </w:p>
    <w:p w:rsidR="00000000" w:rsidRDefault="00F365B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365BD">
      <w:pPr>
        <w:rPr>
          <w:rFonts w:eastAsia="Times New Roman"/>
        </w:rPr>
      </w:pPr>
      <w:r>
        <w:rPr>
          <w:rFonts w:eastAsia="Times New Roman"/>
        </w:rPr>
        <w:t xml:space="preserve">1. Распределение нераспределенной прибыли ПАО «Акрон» по результатам прошлых лет (в том числе выплата (объявление) дивидендов). </w:t>
      </w:r>
    </w:p>
    <w:p w:rsidR="00000000" w:rsidRDefault="00F365B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4.4. Сообщение о проведении общего собрания акционеров эмитента (Положение 546-П от 01.06.20</w:t>
      </w:r>
      <w:r>
        <w:t xml:space="preserve">16). </w:t>
      </w:r>
    </w:p>
    <w:p w:rsidR="00000000" w:rsidRDefault="00F365BD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</w:t>
      </w:r>
      <w:r>
        <w:t>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F365BD" w:rsidRDefault="00F365B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 manager (495) 956-27-90, (495) 956-27-91</w:t>
      </w:r>
    </w:p>
    <w:sectPr w:rsidR="00F3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87960"/>
    <w:rsid w:val="00D87960"/>
    <w:rsid w:val="00F3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2017-12-11T04:11:00Z</dcterms:created>
  <dcterms:modified xsi:type="dcterms:W3CDTF">2017-12-11T04:11:00Z</dcterms:modified>
</cp:coreProperties>
</file>