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740">
      <w:pPr>
        <w:pStyle w:val="a3"/>
        <w:divId w:val="7209080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09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29300641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</w:p>
        </w:tc>
      </w:tr>
      <w:tr w:rsidR="00000000">
        <w:trPr>
          <w:divId w:val="7209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</w:p>
        </w:tc>
      </w:tr>
      <w:tr w:rsidR="00000000">
        <w:trPr>
          <w:divId w:val="7209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29279032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</w:p>
        </w:tc>
      </w:tr>
      <w:tr w:rsidR="00000000">
        <w:trPr>
          <w:divId w:val="7209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0908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7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DD0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0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13.8576443303953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D0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</w:tbl>
    <w:p w:rsidR="00000000" w:rsidRDefault="00DD0740">
      <w:pPr>
        <w:rPr>
          <w:rFonts w:eastAsia="Times New Roman"/>
        </w:rPr>
      </w:pPr>
    </w:p>
    <w:p w:rsidR="00000000" w:rsidRDefault="00DD074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0740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DD0740">
      <w:pPr>
        <w:pStyle w:val="a3"/>
      </w:pPr>
      <w:r>
        <w:t xml:space="preserve">Выплата дивидендов по обыкновенным акциям Общества по итогам 2017 года в размере 13,85764433039532 руб. на одну обыкновенную акцию Общества в денежной форме. </w:t>
      </w:r>
    </w:p>
    <w:p w:rsidR="00000000" w:rsidRDefault="00DD07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0740" w:rsidRDefault="00DD0740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sectPr w:rsidR="00DD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51E3C"/>
    <w:rsid w:val="00B51E3C"/>
    <w:rsid w:val="00DD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b4546831bb476b8c73858b280c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2018-07-24T07:00:00Z</dcterms:created>
  <dcterms:modified xsi:type="dcterms:W3CDTF">2018-07-24T07:00:00Z</dcterms:modified>
</cp:coreProperties>
</file>