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7E4B">
      <w:pPr>
        <w:pStyle w:val="a3"/>
        <w:divId w:val="100447754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4477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36451606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</w:p>
        </w:tc>
      </w:tr>
      <w:tr w:rsidR="00000000">
        <w:trPr>
          <w:divId w:val="1004477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</w:p>
        </w:tc>
      </w:tr>
      <w:tr w:rsidR="00000000">
        <w:trPr>
          <w:divId w:val="1004477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36447488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</w:p>
        </w:tc>
      </w:tr>
      <w:tr w:rsidR="00000000">
        <w:trPr>
          <w:divId w:val="1004477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4477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7E4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67E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446152X5995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267E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446201</w:t>
            </w:r>
          </w:p>
        </w:tc>
      </w:tr>
    </w:tbl>
    <w:p w:rsidR="00000000" w:rsidRDefault="00267E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67E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девяти месяцев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E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2019 года в размере 27 рублей 47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о</w:t>
            </w:r>
            <w:r>
              <w:rPr>
                <w:rFonts w:eastAsia="Times New Roman"/>
              </w:rPr>
              <w:t xml:space="preserve">бществом. Определить 3 декабря 2019 года датой, на которую определяются лица, имеющие право на получение дивидендов по результатам девяти месяцев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E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67E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7E4B">
      <w:pPr>
        <w:rPr>
          <w:rFonts w:eastAsia="Times New Roman"/>
        </w:rPr>
      </w:pPr>
    </w:p>
    <w:p w:rsidR="00000000" w:rsidRDefault="00267E4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7E4B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2019 года. </w:t>
      </w:r>
    </w:p>
    <w:p w:rsidR="00000000" w:rsidRDefault="00267E4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67E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67E4B" w:rsidRDefault="00267E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6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4DFE"/>
    <w:rsid w:val="00267E4B"/>
    <w:rsid w:val="0055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B92E44-69C9-4CC4-B8CD-0B1DB793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1b3ff3dd0047b8970e0f702472a6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2019-10-29T09:08:00Z</dcterms:created>
  <dcterms:modified xsi:type="dcterms:W3CDTF">2019-10-29T09:08:00Z</dcterms:modified>
</cp:coreProperties>
</file>