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40E3">
      <w:pPr>
        <w:pStyle w:val="a3"/>
        <w:divId w:val="178560911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856091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41389336</w:t>
            </w:r>
          </w:p>
        </w:tc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</w:tr>
      <w:tr w:rsidR="00000000">
        <w:trPr>
          <w:divId w:val="17856091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</w:tr>
      <w:tr w:rsidR="00000000">
        <w:trPr>
          <w:divId w:val="17856091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41384759</w:t>
            </w:r>
          </w:p>
        </w:tc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</w:tr>
      <w:tr w:rsidR="00000000">
        <w:trPr>
          <w:divId w:val="17856091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56091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40E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494600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40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15"/>
        <w:gridCol w:w="1990"/>
        <w:gridCol w:w="1392"/>
        <w:gridCol w:w="1525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494600X8677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C40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498938</w:t>
            </w:r>
          </w:p>
        </w:tc>
      </w:tr>
    </w:tbl>
    <w:p w:rsidR="00000000" w:rsidRDefault="002C40E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27"/>
        <w:gridCol w:w="145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40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«ОГК-2» за 2019 год в соответствии с Приложением 1 и годовую бухгалтерскую (финансовую) отчетность ПАО «ОГК-2» за 2019 год в </w:t>
            </w:r>
            <w:r>
              <w:rPr>
                <w:rFonts w:eastAsia="Times New Roman"/>
              </w:rPr>
              <w:lastRenderedPageBreak/>
              <w:t>соответствии с Приложением 2 (проекты документов включены в состав информации (материалов), предоставля</w:t>
            </w:r>
            <w:r>
              <w:rPr>
                <w:rFonts w:eastAsia="Times New Roman"/>
              </w:rPr>
              <w:t xml:space="preserve">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94942652770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83721</w:t>
            </w:r>
            <w:r>
              <w:rPr>
                <w:rFonts w:eastAsia="Times New Roman"/>
              </w:rPr>
              <w:br/>
              <w:t>Воздержался: 40643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«ОГК-2» за 2019 финансовый го</w:t>
            </w:r>
            <w:r>
              <w:rPr>
                <w:rFonts w:eastAsia="Times New Roman"/>
              </w:rPr>
              <w:t xml:space="preserve">д: (тыс. руб.) Нераспределенная прибыль (убыток) отчетного периода: 11 851 697,0 в том числе: - резервный фонд 0 - дивиденды 6 012 922 - оставить в распоряжении ПАО «ОГК-2» 5 838 775 2. Выплатить дивиденды по обыкновенным акциям ПАО «ОГК-2» по результатам </w:t>
            </w:r>
            <w:r>
              <w:rPr>
                <w:rFonts w:eastAsia="Times New Roman"/>
              </w:rPr>
              <w:t>2019 года в размере 0,0544445744 рубля на одну обыкновенную акцию ПАО «ОГК-2» в денежной форме в срок, установленный для выплаты дивидендов законодательством Российской федерации. 3. Определить дату на которую в соответствии с решением о выплате (объявлени</w:t>
            </w:r>
            <w:r>
              <w:rPr>
                <w:rFonts w:eastAsia="Times New Roman"/>
              </w:rPr>
              <w:t xml:space="preserve">и) дивидендов определяются лица, имеющие право на их получение: 10 июля 2020 года (на конец операционного дня).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94942771663</w:t>
            </w:r>
            <w:r>
              <w:rPr>
                <w:rFonts w:eastAsia="Times New Roman"/>
              </w:rPr>
              <w:br/>
              <w:t>Против: 8436</w:t>
            </w:r>
            <w:r>
              <w:rPr>
                <w:rFonts w:eastAsia="Times New Roman"/>
              </w:rPr>
              <w:br/>
              <w:t>Воздержался: 43102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19669301410</w:t>
            </w:r>
            <w:r>
              <w:rPr>
                <w:rFonts w:eastAsia="Times New Roman"/>
              </w:rPr>
              <w:br/>
              <w:t>Воздержался: 2928182994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109999966985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129830745898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87999816683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87999324980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119999138043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87999432311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87999072233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99999432578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ЗАЙЦЕВ СЕРГЕЙ АРТУРОВИЧ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74999274771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69917935786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1065514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64999763762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4051842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«ОГК-2»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90887088139</w:t>
            </w:r>
            <w:r>
              <w:rPr>
                <w:rFonts w:eastAsia="Times New Roman"/>
              </w:rPr>
              <w:br/>
              <w:t>Против: 4051951415</w:t>
            </w:r>
            <w:r>
              <w:rPr>
                <w:rFonts w:eastAsia="Times New Roman"/>
              </w:rPr>
              <w:br/>
              <w:t>Воздержался: 4090677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5.1. Утвердить Положение об Общем собрании акционеров ПАО «ОГК-2» в новой редакции в соответствии с Приложением 4 (проект документа включен в состав информации (мат</w:t>
            </w:r>
            <w:r>
              <w:rPr>
                <w:rFonts w:eastAsia="Times New Roman"/>
              </w:rPr>
              <w:t xml:space="preserve">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92672694499</w:t>
            </w:r>
            <w:r>
              <w:rPr>
                <w:rFonts w:eastAsia="Times New Roman"/>
              </w:rPr>
              <w:br/>
              <w:t>Против: 2266370806</w:t>
            </w:r>
            <w:r>
              <w:rPr>
                <w:rFonts w:eastAsia="Times New Roman"/>
              </w:rPr>
              <w:br/>
              <w:t>Воздержался: 4064534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5.2. Утвердить Положение о Совете директоров ПАО «ОГК-2» в н</w:t>
            </w:r>
            <w:r>
              <w:rPr>
                <w:rFonts w:eastAsia="Times New Roman"/>
              </w:rPr>
              <w:t xml:space="preserve">овой редакции в соответствии с Приложением 5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90886402154</w:t>
            </w:r>
            <w:r>
              <w:rPr>
                <w:rFonts w:eastAsia="Times New Roman"/>
              </w:rPr>
              <w:br/>
              <w:t>Против: 4053021448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3694649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5.3. Утвердить Положение о Генеральном директоре ПАО «ОГК-2» в новой редакции в соответствии с Приложением 6 (проект документа включен в состав информации (материалов), предоставляемой лицам, имеющим право н</w:t>
            </w:r>
            <w:r>
              <w:rPr>
                <w:rFonts w:eastAsia="Times New Roman"/>
              </w:rPr>
              <w:t xml:space="preserve">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92671469151</w:t>
            </w:r>
            <w:r>
              <w:rPr>
                <w:rFonts w:eastAsia="Times New Roman"/>
              </w:rPr>
              <w:br/>
              <w:t>Против: 2267443459</w:t>
            </w:r>
            <w:r>
              <w:rPr>
                <w:rFonts w:eastAsia="Times New Roman"/>
              </w:rPr>
              <w:br/>
              <w:t>Воздержался: 3909834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БИКУЛОВ ВАДИМ КАСЫМОВИЧ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3746864280</w:t>
            </w:r>
            <w:r>
              <w:rPr>
                <w:rFonts w:eastAsia="Times New Roman"/>
              </w:rPr>
              <w:br/>
              <w:t>Против: 9</w:t>
            </w:r>
            <w:r>
              <w:rPr>
                <w:rFonts w:eastAsia="Times New Roman"/>
              </w:rPr>
              <w:t>1189734599</w:t>
            </w:r>
            <w:r>
              <w:rPr>
                <w:rFonts w:eastAsia="Times New Roman"/>
              </w:rPr>
              <w:br/>
              <w:t>Воздержался: 6365369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ЛАРИНА ИРИНА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3746837046</w:t>
            </w:r>
            <w:r>
              <w:rPr>
                <w:rFonts w:eastAsia="Times New Roman"/>
              </w:rPr>
              <w:br/>
              <w:t>Против: 91189713068</w:t>
            </w:r>
            <w:r>
              <w:rPr>
                <w:rFonts w:eastAsia="Times New Roman"/>
              </w:rPr>
              <w:br/>
              <w:t>Воздержался: 6432332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ЛИНОВИЦКИЙ ЮРИЙ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3748106068</w:t>
            </w:r>
            <w:r>
              <w:rPr>
                <w:rFonts w:eastAsia="Times New Roman"/>
              </w:rPr>
              <w:br/>
              <w:t>Против: 91189677829</w:t>
            </w:r>
            <w:r>
              <w:rPr>
                <w:rFonts w:eastAsia="Times New Roman"/>
              </w:rPr>
              <w:br/>
              <w:t>Воздержался: 5174047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3748140198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91189656885</w:t>
            </w:r>
            <w:r>
              <w:rPr>
                <w:rFonts w:eastAsia="Times New Roman"/>
              </w:rPr>
              <w:br/>
              <w:t>Воздержался: 5158576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ПОПЛЯНОВ ЕВГЕНИЙ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3746937183</w:t>
            </w:r>
            <w:r>
              <w:rPr>
                <w:rFonts w:eastAsia="Times New Roman"/>
              </w:rPr>
              <w:br/>
              <w:t>Против: 91189664496</w:t>
            </w:r>
            <w:r>
              <w:rPr>
                <w:rFonts w:eastAsia="Times New Roman"/>
              </w:rPr>
              <w:br/>
              <w:t>Воздержался: 6357494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Отменить действие Положения о Ревизионной комиссии ПАО «ОГК-2».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94939080002</w:t>
            </w:r>
            <w:r>
              <w:rPr>
                <w:rFonts w:eastAsia="Times New Roman"/>
              </w:rPr>
              <w:br/>
              <w:t>Против: 1074875</w:t>
            </w:r>
            <w:r>
              <w:rPr>
                <w:rFonts w:eastAsia="Times New Roman"/>
              </w:rPr>
              <w:br/>
              <w:t>Воздержался: 2650364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7.2. Отменить действие Положения о выплате членам Ревизионной комиссии ПАО «ОГК-2» вознаграждений и компенсаций.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94938981737</w:t>
            </w:r>
            <w:r>
              <w:rPr>
                <w:rFonts w:eastAsia="Times New Roman"/>
              </w:rPr>
              <w:br/>
              <w:t>Против: 63792</w:t>
            </w:r>
            <w:r>
              <w:rPr>
                <w:rFonts w:eastAsia="Times New Roman"/>
              </w:rPr>
              <w:br/>
              <w:t>Воздержался: 3774729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«БДО Юникон» (АО «</w:t>
            </w:r>
            <w:r>
              <w:rPr>
                <w:rFonts w:eastAsia="Times New Roman"/>
              </w:rPr>
              <w:t>БДО Юникон», ИНН: 7716021332; ОГРН: 1037739271701; является членом саморегулируемой организации аудиторов «Российский Союз аудиторов» (Ассоциация), основной регистрационный номер записи в государственном реестре аудиторов и аудиторских организаций 11603059</w:t>
            </w:r>
            <w:r>
              <w:rPr>
                <w:rFonts w:eastAsia="Times New Roman"/>
              </w:rPr>
              <w:t xml:space="preserve">593) в качестве аудитора, осуществляющего аудит бухгалтерской и консолидированной финансовой отчетности ПАО «ОГК-2» за 2020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93152271613</w:t>
            </w:r>
            <w:r>
              <w:rPr>
                <w:rFonts w:eastAsia="Times New Roman"/>
              </w:rPr>
              <w:br/>
              <w:t>Против: 1785703149</w:t>
            </w:r>
            <w:r>
              <w:rPr>
                <w:rFonts w:eastAsia="Times New Roman"/>
              </w:rPr>
              <w:br/>
              <w:t>Воздержался: 5140877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</w:t>
            </w:r>
            <w:r>
              <w:rPr>
                <w:rFonts w:eastAsia="Times New Roman"/>
              </w:rPr>
              <w:t xml:space="preserve"> о порядке определения размера вознаграждений и компенсаций членам Совета директоров ПАО «ОГК-2» выплатить дополнительное вознаграждение членам Совета директоров, избранным решением годового Общего собрания акционеров ПАО «ОГК-2» 11.06.2019, в общем размер</w:t>
            </w:r>
            <w:r>
              <w:rPr>
                <w:rFonts w:eastAsia="Times New Roman"/>
              </w:rPr>
              <w:t xml:space="preserve">е _____ (___________) рублей. Определить, что общая сумма дополнительного вознаграждения распределяется между членами Совета директоров ПАО «ОГК-2» в равных долях.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90300788051</w:t>
            </w:r>
            <w:r>
              <w:rPr>
                <w:rFonts w:eastAsia="Times New Roman"/>
              </w:rPr>
              <w:br/>
              <w:t>Против: 4636811219</w:t>
            </w:r>
            <w:r>
              <w:rPr>
                <w:rFonts w:eastAsia="Times New Roman"/>
              </w:rPr>
              <w:br/>
              <w:t>Воздержался: 5213433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10.1. 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Займодавец: ПАО «ОГК-2» (ИНН 2607018122), Заемщик: ПАО «Газпром» (ИНН 7736050003</w:t>
            </w:r>
            <w:r>
              <w:rPr>
                <w:rFonts w:eastAsia="Times New Roman"/>
              </w:rPr>
              <w:t xml:space="preserve">)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</w:t>
            </w:r>
            <w:r>
              <w:rPr>
                <w:rFonts w:eastAsia="Times New Roman"/>
              </w:rPr>
              <w:lastRenderedPageBreak/>
              <w:t>составит не более 30 000 000 000 (Тридцать миллиардов) рублей. В случае исче</w:t>
            </w:r>
            <w:r>
              <w:rPr>
                <w:rFonts w:eastAsia="Times New Roman"/>
              </w:rPr>
              <w:t>рпания суммы займа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Процентная ставка не является фиксированной и опред</w:t>
            </w:r>
            <w:r>
              <w:rPr>
                <w:rFonts w:eastAsia="Times New Roman"/>
              </w:rPr>
              <w:t>еляется, по каждой отдельной части займа, исходя из процентной ставки MosPrime, соответствующей фактическому сроку пользования денежными средствами, а также премии за риск. При этом предельная минимальная процентная с... (Полный текст содержится в файле Ре</w:t>
            </w:r>
            <w:r>
              <w:rPr>
                <w:rFonts w:eastAsia="Times New Roman"/>
              </w:rPr>
              <w:t xml:space="preserve">шение 10.1.docx).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3747157357</w:t>
            </w:r>
            <w:r>
              <w:rPr>
                <w:rFonts w:eastAsia="Times New Roman"/>
              </w:rPr>
              <w:br/>
              <w:t>Против: 1789585867</w:t>
            </w:r>
            <w:r>
              <w:rPr>
                <w:rFonts w:eastAsia="Times New Roman"/>
              </w:rPr>
              <w:br/>
              <w:t>Воздержался: 2462199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10.2. Согласовать заключение договора займа как сделки, в совершении которой имеется заинтересованность на следующих существенных условиях</w:t>
            </w:r>
            <w:r>
              <w:rPr>
                <w:rFonts w:eastAsia="Times New Roman"/>
              </w:rPr>
              <w:t>: Стороны: Займодавец: ПАО «Газпром» (ИНН 7736050003), Заемщик: ПАО «ОГК-2» (ИНН 2607018122)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</w:t>
            </w:r>
            <w:r>
              <w:rPr>
                <w:rFonts w:eastAsia="Times New Roman"/>
              </w:rPr>
              <w:t>а: Сумма займа составит не более 50 000 000 000 (Пятьдесят миллиардов) рублей. В случае исчерпания суммы займа Заемщик вправе после досрочного возврата предоставленной суммы займа или ее части обратиться к Займодавцу за выдачей займа в сумме, не превышающе</w:t>
            </w:r>
            <w:r>
              <w:rPr>
                <w:rFonts w:eastAsia="Times New Roman"/>
              </w:rPr>
              <w:t xml:space="preserve">й возвращенную (погашенную) часть займа. Процентная ставка не является фиксированной и определяется, по каждой отдельной части займа, исходя из процентной ставки MosPrime, соответствующей фактическому сроку пользования денежными средствами, а также премии </w:t>
            </w:r>
            <w:r>
              <w:rPr>
                <w:rFonts w:eastAsia="Times New Roman"/>
              </w:rPr>
              <w:t xml:space="preserve">за риск. При этом предельная максимальная процентная... (Полный текст содержится в файле Решение 10.2.docx).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40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3747336273</w:t>
            </w:r>
            <w:r>
              <w:rPr>
                <w:rFonts w:eastAsia="Times New Roman"/>
              </w:rPr>
              <w:br/>
              <w:t>Против: 1789353143</w:t>
            </w:r>
            <w:r>
              <w:rPr>
                <w:rFonts w:eastAsia="Times New Roman"/>
              </w:rPr>
              <w:br/>
              <w:t>Воздержался: 2462048</w:t>
            </w:r>
          </w:p>
        </w:tc>
      </w:tr>
    </w:tbl>
    <w:p w:rsidR="00000000" w:rsidRDefault="002C40E3">
      <w:pPr>
        <w:rPr>
          <w:rFonts w:eastAsia="Times New Roman"/>
        </w:rPr>
      </w:pPr>
    </w:p>
    <w:p w:rsidR="00000000" w:rsidRDefault="002C40E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C40E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C40E3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C40E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2C40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2C40E3">
      <w:pPr>
        <w:rPr>
          <w:rFonts w:eastAsia="Times New Roman"/>
        </w:rPr>
      </w:pPr>
      <w:r>
        <w:rPr>
          <w:rFonts w:eastAsia="Times New Roman"/>
        </w:rPr>
        <w:br/>
      </w:r>
    </w:p>
    <w:p w:rsidR="002C40E3" w:rsidRDefault="002C40E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1637"/>
    <w:rsid w:val="002C40E3"/>
    <w:rsid w:val="00E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F4B79B-D069-4AD9-9F98-6BBD34AC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2e4e24e6c0492abe079ab2228e2d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2020-07-02T04:55:00Z</dcterms:created>
  <dcterms:modified xsi:type="dcterms:W3CDTF">2020-07-02T04:55:00Z</dcterms:modified>
</cp:coreProperties>
</file>