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161">
      <w:pPr>
        <w:pStyle w:val="a3"/>
        <w:divId w:val="623924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92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70972846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</w:p>
        </w:tc>
      </w:tr>
      <w:tr w:rsidR="00000000">
        <w:trPr>
          <w:divId w:val="62392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</w:p>
        </w:tc>
      </w:tr>
      <w:tr w:rsidR="00000000">
        <w:trPr>
          <w:divId w:val="62392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70488725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</w:p>
        </w:tc>
      </w:tr>
      <w:tr w:rsidR="00000000">
        <w:trPr>
          <w:divId w:val="62392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92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616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1861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61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1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1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186161">
      <w:pPr>
        <w:rPr>
          <w:rFonts w:eastAsia="Times New Roman"/>
        </w:rPr>
      </w:pPr>
    </w:p>
    <w:p w:rsidR="00000000" w:rsidRDefault="001861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86161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186161">
      <w:pPr>
        <w:pStyle w:val="a3"/>
      </w:pPr>
      <w:r>
        <w:t>Требования (заявления) о досрочном погашении Биржевых облигаций напр</w:t>
      </w:r>
      <w:r>
        <w:t>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</w:t>
      </w:r>
      <w:r>
        <w:t xml:space="preserve">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</w:t>
      </w:r>
      <w:r>
        <w:t>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</w:t>
      </w:r>
      <w:r>
        <w:t>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</w:t>
      </w:r>
      <w:r>
        <w:t xml:space="preserve">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</w:t>
      </w:r>
      <w:r>
        <w:t>ении Биржевых облигаций.</w:t>
      </w:r>
      <w:r>
        <w:br/>
        <w:t xml:space="preserve">Контакт для связи: dcm@sovcombank.ru </w:t>
      </w:r>
    </w:p>
    <w:p w:rsidR="00000000" w:rsidRDefault="001861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1861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186161">
      <w:pPr>
        <w:rPr>
          <w:rFonts w:eastAsia="Times New Roman"/>
        </w:rPr>
      </w:pPr>
      <w:r>
        <w:rPr>
          <w:rFonts w:eastAsia="Times New Roman"/>
        </w:rPr>
        <w:br/>
      </w:r>
    </w:p>
    <w:p w:rsidR="00186161" w:rsidRDefault="001861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7792"/>
    <w:rsid w:val="00186161"/>
    <w:rsid w:val="004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BC8D95-A12A-43DA-8D61-D458C76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2022-09-28T04:33:00Z</dcterms:created>
  <dcterms:modified xsi:type="dcterms:W3CDTF">2022-09-28T04:33:00Z</dcterms:modified>
</cp:coreProperties>
</file>