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0222">
      <w:pPr>
        <w:pStyle w:val="a3"/>
        <w:divId w:val="3203563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0356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50608859</w:t>
            </w:r>
          </w:p>
        </w:tc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</w:p>
        </w:tc>
      </w:tr>
      <w:tr w:rsidR="00000000">
        <w:trPr>
          <w:divId w:val="320356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</w:p>
        </w:tc>
      </w:tr>
      <w:tr w:rsidR="00000000">
        <w:trPr>
          <w:divId w:val="320356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50176239</w:t>
            </w:r>
          </w:p>
        </w:tc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</w:p>
        </w:tc>
      </w:tr>
      <w:tr w:rsidR="00000000">
        <w:trPr>
          <w:divId w:val="320356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0356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022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02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586933X7059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D02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2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D0222">
      <w:pPr>
        <w:rPr>
          <w:rFonts w:eastAsia="Times New Roman"/>
        </w:rPr>
      </w:pPr>
    </w:p>
    <w:p w:rsidR="00000000" w:rsidRDefault="00FD02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022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2020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Распределении прибыли и убытков Общества по результатам отчетного 2020 года. </w:t>
      </w:r>
      <w:r>
        <w:rPr>
          <w:rFonts w:eastAsia="Times New Roman"/>
        </w:rPr>
        <w:br/>
        <w:t xml:space="preserve">4. Выплата (объявление) дивидендов по результатам отчетного 2020 года. </w:t>
      </w:r>
      <w:r>
        <w:rPr>
          <w:rFonts w:eastAsia="Times New Roman"/>
        </w:rPr>
        <w:br/>
        <w:t xml:space="preserve">5. Выплата членам Совета директоров Общества вознаграждений и компенсаций; </w:t>
      </w:r>
      <w:r>
        <w:rPr>
          <w:rFonts w:eastAsia="Times New Roman"/>
        </w:rPr>
        <w:br/>
        <w:t>6. Выплата членам Ревизионн</w:t>
      </w:r>
      <w:r>
        <w:rPr>
          <w:rFonts w:eastAsia="Times New Roman"/>
        </w:rPr>
        <w:t xml:space="preserve">ой комиссии Общества вознаграждений и компенсаций; </w:t>
      </w:r>
      <w:r>
        <w:rPr>
          <w:rFonts w:eastAsia="Times New Roman"/>
        </w:rPr>
        <w:br/>
        <w:t xml:space="preserve">7. Утверждение аудитора Общества на 2021 год. 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</w:p>
    <w:p w:rsidR="00000000" w:rsidRDefault="00FD0222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</w:t>
      </w:r>
      <w:r>
        <w:t xml:space="preserve">я, а также о требованиях к порядку предоставления центральным депозитарием доступа к такой информации". </w:t>
      </w:r>
    </w:p>
    <w:p w:rsidR="00000000" w:rsidRDefault="00FD0222">
      <w:pPr>
        <w:pStyle w:val="a3"/>
      </w:pPr>
      <w:r>
        <w:t>4.2. Информация о созыве общего собрания акционеров эмитента.</w:t>
      </w:r>
    </w:p>
    <w:p w:rsidR="00000000" w:rsidRDefault="00FD02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02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000000" w:rsidRDefault="00FD0222">
      <w:pPr>
        <w:rPr>
          <w:rFonts w:eastAsia="Times New Roman"/>
        </w:rPr>
      </w:pPr>
      <w:r>
        <w:rPr>
          <w:rFonts w:eastAsia="Times New Roman"/>
        </w:rPr>
        <w:br/>
      </w:r>
    </w:p>
    <w:p w:rsidR="00FD0222" w:rsidRDefault="00FD022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FD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5088"/>
    <w:rsid w:val="00025088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5710EF-A207-4725-AE77-21DAECF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421e6216de43b382c6835426072e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2021-04-28T04:16:00Z</dcterms:created>
  <dcterms:modified xsi:type="dcterms:W3CDTF">2021-04-28T04:16:00Z</dcterms:modified>
</cp:coreProperties>
</file>