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D53">
      <w:pPr>
        <w:pStyle w:val="a3"/>
        <w:divId w:val="20354219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542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38043492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</w:tr>
      <w:tr w:rsidR="00000000">
        <w:trPr>
          <w:divId w:val="203542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</w:tr>
      <w:tr w:rsidR="00000000">
        <w:trPr>
          <w:divId w:val="203542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37866007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</w:tr>
      <w:tr w:rsidR="00000000">
        <w:trPr>
          <w:divId w:val="203542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542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4D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4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4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5"/>
        <w:gridCol w:w="2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BD4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7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</w:t>
            </w:r>
            <w:r>
              <w:rPr>
                <w:rFonts w:eastAsia="Times New Roman"/>
              </w:rPr>
              <w:t xml:space="preserve">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дочерних обществ.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</w:t>
            </w:r>
            <w:r>
              <w:rPr>
                <w:rFonts w:eastAsia="Times New Roman"/>
              </w:rPr>
              <w:t xml:space="preserve"> к ПАО «МТС» АО «РИКТ».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4), далее — ПАО «МТС», в форме присоединения к ПАО «МТС» А</w:t>
            </w:r>
            <w:r>
              <w:rPr>
                <w:rFonts w:eastAsia="Times New Roman"/>
              </w:rPr>
              <w:t>кционерного общества «РИКТ» (ОГРН 1034214000215, место нахождения: Российская Федерация, 652870, Кемеровская область – Кузбасс, г. Междуреченск, ул. Чехова, д. 9), далее – АО «РИКТ», с передачей всех прав и обязанностей АО «РИКТ» ПАО «МТС» и прекращением д</w:t>
            </w:r>
            <w:r>
              <w:rPr>
                <w:rFonts w:eastAsia="Times New Roman"/>
              </w:rPr>
              <w:t>еятельности АО «РИКТ». 2) Утвердить договор о присоединении АО «РИКТ» к ПАО «МТС» (Приложение 1). 3) Определить, что в связи с тем, что ПАО «МТС» является владельцем 100 (ста) процентов обыкновенных именных акций АО «РИКТ», конвертация принадлежащих ПАО «М</w:t>
            </w:r>
            <w:r>
              <w:rPr>
                <w:rFonts w:eastAsia="Times New Roman"/>
              </w:rPr>
              <w:t xml:space="preserve">ТС» обыкновенных именных акций АО «РИКТ» не производится, все обыкновенные именные акции АО «РИКТ», принадлежащие ПАО «МТС», погашаются в момент внесения в единый государственный реестр юридических лиц запис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АО «Телесервис». 1) Реорганизовать Публичное акционерное общество «Мобильные ТелеСистемы» (ОГРН 1027700149124, место нахождения: Российская Федерация, 109147</w:t>
            </w:r>
            <w:r>
              <w:rPr>
                <w:rFonts w:eastAsia="Times New Roman"/>
              </w:rPr>
              <w:t>, г. Москва, ул. Марксистская, дом 4), далее — ПАО «МТС», в форме присоединения к ПАО «МТС» Акционерного общества «Телесервис» (ОГРН 1023601530270, место нахождения: Российская Федерация, 394036, Воронежская область, г. Воронеж, ул. Пятницкого, д. 46), дал</w:t>
            </w:r>
            <w:r>
              <w:rPr>
                <w:rFonts w:eastAsia="Times New Roman"/>
              </w:rPr>
              <w:t>ее – АО «Телесервис», с передачей всех прав и обязанностей АО «Телесервис» ПАО «МТС» и прекращением деятельности АО «Телесервис». 2) Утвердить договор о присоединении АО «Телесервис» к ПАО «МТС» (Приложение 2). 3) Определить, что в связи с тем, что ПАО «МТ</w:t>
            </w:r>
            <w:r>
              <w:rPr>
                <w:rFonts w:eastAsia="Times New Roman"/>
              </w:rPr>
              <w:t xml:space="preserve">С» является владельцем 100 (ста) процентов обыкновенных именных акций АО «Телесервис», конвертация принадлежащих ПАО «МТС» обыкновенных именных акций АО «Телесервис» не производится, все обыкновенные именные акции АО «Телесервис», принадлежащие ПАО «МТС», </w:t>
            </w:r>
            <w:r>
              <w:rPr>
                <w:rFonts w:eastAsia="Times New Roman"/>
              </w:rPr>
              <w:t xml:space="preserve">погашаются в момент внесения в единый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присоединения к ПАО «МТС» ООО «Прогтех-Юг». 1) Реорганизовать Публичное акционерное общество «Мобильные ТелеСистемы» </w:t>
            </w:r>
            <w:r>
              <w:rPr>
                <w:rFonts w:eastAsia="Times New Roman"/>
              </w:rPr>
              <w:t>(ОГРН 1027700149124, место нахождения: Российская Федерация, 109147, г. Москва, ул. Марксистская, дом 4), далее — ПАО «МТС», в форме присоединения к ПАО «МТС» Общества с ограниченной ответственностью «Прогтех-Юг» (ОГРН 1102301003530, место нахождения: Росс</w:t>
            </w:r>
            <w:r>
              <w:rPr>
                <w:rFonts w:eastAsia="Times New Roman"/>
              </w:rPr>
              <w:t xml:space="preserve">ийская Федерация, 353454, Краснодарский край, Анапский район, г. Анапа, ул. Владимирская, д. 140), далее – ООО «Прогтех-Юг», с передачей всех прав и обязанностей ООО «Прогтех-Юг» ПАО «МТС» и прекращением деятельности ООО «Прогтех-Юг». 2) Утвердить договор </w:t>
            </w:r>
            <w:r>
              <w:rPr>
                <w:rFonts w:eastAsia="Times New Roman"/>
              </w:rPr>
              <w:t xml:space="preserve">о присоединении ООО «Прогтех-Юг» к ПАО «МТС» (Приложение 3). 3) Определить, что в связи с тем, что ПАО «МТС» является владельцем одной доли в размере 100 (ста) процентов уставного капитала ООО «Прогтех-Юг», конвертация принадлежащей ПАО «МТС» одной доли в </w:t>
            </w:r>
            <w:r>
              <w:rPr>
                <w:rFonts w:eastAsia="Times New Roman"/>
              </w:rPr>
              <w:lastRenderedPageBreak/>
              <w:t xml:space="preserve">размере 100 (ста) процентов уставного капитала ООО «Прогтех-Юг» не производится, одна доля в размере 10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присоединения к ПАО «МТС» АО «СИБИНТЕРТЕЛЕКОМ».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</w:t>
            </w:r>
            <w:r>
              <w:rPr>
                <w:rFonts w:eastAsia="Times New Roman"/>
              </w:rPr>
              <w:t>4), далее — ПАО «МТС», в форме присоединения к ПАО «МТС» Акционерного общества «СИБИНТЕРТЕЛЕКОМ» (ОГРН 1027501155032, место нахождения: Российская Федерация, 672012, Забайкальский край, г. Чита, ул. Богомягкова, д. 46Б, пом. 6, каб. №7), далее – АО «СИБИНТ</w:t>
            </w:r>
            <w:r>
              <w:rPr>
                <w:rFonts w:eastAsia="Times New Roman"/>
              </w:rPr>
              <w:t>ЕРТЕЛЕКОМ», с передачей всех прав и обязанностей АО «СИБИНТЕРТЕЛЕКОМ» ПАО «МТС» и прекращением деятельности АО «СИБИНТЕРТЕЛЕКОМ». 2) Утвердить договор о присоединении АО «СИБИНТЕРТЕЛЕКОМ» к ПАО «МТС» (Приложение 4). 3) Определить, что в связи с тем, что ПА</w:t>
            </w:r>
            <w:r>
              <w:rPr>
                <w:rFonts w:eastAsia="Times New Roman"/>
              </w:rPr>
              <w:t xml:space="preserve">О «МТС» на дату внесения в ЕРГЮЛ записи о прекращении деятельности АО «СИБИНТЕРТЕЛЕКОМ» в связи с присоединением к ПАО «МТС» будет являться владельцем 100 (ста) процентов обыкновенных именных акций АО «СИБИНТЕРТЕЛЕКОМ», конвертация принадлежащих ПАО «МТС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ООО «Энвижн-Консалтинг». 1) Реорганизовать Публичное акционерное общество «Мобильные ТелеСи</w:t>
            </w:r>
            <w:r>
              <w:rPr>
                <w:rFonts w:eastAsia="Times New Roman"/>
              </w:rPr>
              <w:t xml:space="preserve">стемы» (ОГРН 1027700149124, место нахождения: Российская Федерация, 109147, г. Москва, ул. Марксистская, д. 4), далее — ПАО «МТС», в форме присоединения к </w:t>
            </w:r>
            <w:r>
              <w:rPr>
                <w:rFonts w:eastAsia="Times New Roman"/>
              </w:rPr>
              <w:lastRenderedPageBreak/>
              <w:t>ПАО «МТС» Общества с ограниченной ответственностью «Энвижн - Консалтинг» (ОГРН 1117746938374, место н</w:t>
            </w:r>
            <w:r>
              <w:rPr>
                <w:rFonts w:eastAsia="Times New Roman"/>
              </w:rPr>
              <w:t>ахождения: Российская Федерация, 127055, г. Москва, ул. Новослободская, д. 29, стр.2), далее – ООО «Энвижн - Консалтинг», с передачей всех прав и обязанностей ООО «Энвижн - Консалтинг» ПАО «МТС» и прекращением деятельности ООО «Энвижн - Консалтинг». 2) Утв</w:t>
            </w:r>
            <w:r>
              <w:rPr>
                <w:rFonts w:eastAsia="Times New Roman"/>
              </w:rPr>
              <w:t>ердить договор о присоединении ООО «Энвижн - Консалтинг» к ПАО «МТС» (Приложение 5). 3) Определить, что в связи с тем, что ПАО «МТС» является владельцем одной доли в размере 100 (ста) процентов уставного капитала ООО «Энвижн - Консалтинг», конвертация прин</w:t>
            </w:r>
            <w:r>
              <w:rPr>
                <w:rFonts w:eastAsia="Times New Roman"/>
              </w:rPr>
              <w:t xml:space="preserve">адлежащей ПАО «МТС» одной доли в размере 100 (ста) процентов уставного капитала ООО «Энвижн - Консалти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присоединения к ПАО «МТС» ООО «Авантаж». </w:t>
            </w:r>
            <w:r>
              <w:rPr>
                <w:rFonts w:eastAsia="Times New Roman"/>
              </w:rPr>
              <w:t>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4), далее — ПАО «МТС», в форме присоединения к ПАО «МТС» Общества с ограниченной о</w:t>
            </w:r>
            <w:r>
              <w:rPr>
                <w:rFonts w:eastAsia="Times New Roman"/>
              </w:rPr>
              <w:t>тветственностью «Авантаж» (ОГРН 1115027000142, место нахождения: Российская Федерация, 140080, Московская область, г. Лыткарино, территория детский городок ЗИЛ, стр. 60), далее – ООО «Авантаж», с передачей всех прав и обязанностей ООО «Авантаж» ПАО «МТС» и</w:t>
            </w:r>
            <w:r>
              <w:rPr>
                <w:rFonts w:eastAsia="Times New Roman"/>
              </w:rPr>
              <w:t xml:space="preserve"> прекращением деятельности ООО «Авантаж». 2) Утвердить договор о присоединении ООО «Авантаж» к ПАО «МТС» (Приложение 6). 3) Определить, что в связи с тем, что ПАО «МТС» на дату внесения в ЕРГЮЛ записи о прекращении деятельности ООО «Авантаж» в связи с прис</w:t>
            </w:r>
            <w:r>
              <w:rPr>
                <w:rFonts w:eastAsia="Times New Roman"/>
              </w:rPr>
              <w:t xml:space="preserve">оединением к ПАО «МТС» будет являться владельцем одной доли в размере 100 (ста) процентов уставного капитала ООО «Авантаж», конвертация принадлежащей ПАО «МТС» одной доли в размер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присоединения к ПАО «МТС» АО «НИС».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4), далее — </w:t>
            </w:r>
            <w:r>
              <w:rPr>
                <w:rFonts w:eastAsia="Times New Roman"/>
              </w:rPr>
              <w:t>ПАО «МТС», в форме присоединения к ПАО «МТС» Акционерного общества «Навигационно-информационные системы» (ОГРН 1077762310614, место нахождения: Российская Федерация, 111402, г. Москва, ул. 8 Марта, д. 10, стр.1), далее – АО «НИС», с передачей всех прав и о</w:t>
            </w:r>
            <w:r>
              <w:rPr>
                <w:rFonts w:eastAsia="Times New Roman"/>
              </w:rPr>
              <w:t>бязанностей АО «НИС» ПАО «МТС» и прекращением деятельности АО «НИС». 2) Утвердить договор о присоединении АО «НИС» к ПАО «МТС» (Приложение 7). 3) Определить, что в связи с тем, что ПАО «МТС» на дату внесения в ЕРГЮЛ записи о прекращении деятельности АО «НИ</w:t>
            </w:r>
            <w:r>
              <w:rPr>
                <w:rFonts w:eastAsia="Times New Roman"/>
              </w:rPr>
              <w:t xml:space="preserve">С» в связи с присоединением к ПАО «МТС» будет являться владельцем 100 (ста) процентов обыкновенных именных акций АО «НИС», конвертация принадлежащих ПАО «МТС» обыкновенных именных акций АО «НИС» не производится, все обыкновенные именные акции АО «НИС», п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«МТС» в связи с реорганизацией.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реорганизацией в форме присоединения АО «РИКТ» к ПАО «МТС» (Приложение 8).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АО «Телесервис» к ПАО «МТС» (Приложение 9).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ООО «Прогтех-Юг» к ПАО «МТС» (Приложение 10).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АО «СИБИНТЕРТЕЛЕКОМ» к ПАО «МТС» (Приложение 11).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3.5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</w:t>
            </w:r>
            <w:r>
              <w:rPr>
                <w:rFonts w:eastAsia="Times New Roman"/>
              </w:rPr>
              <w:t xml:space="preserve">ацией в форме присоединения ООО «Энвижн - Консалтинг» к ПАО «МТС» (Приложение 12).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3.6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реорганизацией в форме присоединения ООО «Авантаж» к ПАО «МТС» (Приложение 13).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3.7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</w:t>
            </w:r>
            <w:r>
              <w:rPr>
                <w:rFonts w:eastAsia="Times New Roman"/>
              </w:rPr>
              <w:t>ацией в форме присоединения АО «НИС» к ПАО «МТС» (Приложение 14).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«МТС» в части корпоративных процедур.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части корпоративных процедур (Приложение 15).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«МТС» в новой редакции (Приложение 16).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17).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«МТС» в части компетенции органов управления.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части компетенции органов управления (Приложение 18).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Ассоциации Telecom Infra Project (TIP, адрес местонахождения: 401 Edgewater Place Suite 600 Wakefield, M</w:t>
            </w:r>
            <w:r>
              <w:rPr>
                <w:rFonts w:eastAsia="Times New Roman"/>
              </w:rPr>
              <w:t xml:space="preserve">A 01880, USA).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4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участников рынка больших данных (адрес местонахождения: г. Москва, Рублевское шоссе, д. 28). 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4D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4D53">
      <w:pPr>
        <w:rPr>
          <w:rFonts w:eastAsia="Times New Roman"/>
        </w:rPr>
      </w:pPr>
    </w:p>
    <w:p w:rsidR="00000000" w:rsidRDefault="00BD4D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4D53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</w:r>
      <w:r>
        <w:rPr>
          <w:rFonts w:eastAsia="Times New Roman"/>
        </w:rPr>
        <w:t>3. О внесении изменений в Устав ПАО «МТС» в связи с реорганизацией.</w:t>
      </w:r>
      <w:r>
        <w:rPr>
          <w:rFonts w:eastAsia="Times New Roman"/>
        </w:rPr>
        <w:br/>
        <w:t>4. О внесении изменений в Устав ПАО «МТС» в части корпоративных процедур.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Об утверждении Положения о</w:t>
      </w:r>
      <w:r>
        <w:rPr>
          <w:rFonts w:eastAsia="Times New Roman"/>
        </w:rPr>
        <w:t xml:space="preserve"> Совете директоров ПАО «МТС» в новой редакции.</w:t>
      </w:r>
      <w:r>
        <w:rPr>
          <w:rFonts w:eastAsia="Times New Roman"/>
        </w:rPr>
        <w:br/>
        <w:t>7. О внесении изменений в Устав ПАО «МТС» в части компетенции органов управления.</w:t>
      </w:r>
      <w:r>
        <w:rPr>
          <w:rFonts w:eastAsia="Times New Roman"/>
        </w:rPr>
        <w:br/>
        <w:t xml:space="preserve">8. Об участии ПАО «МТС» в некоммерческих организациях. </w:t>
      </w:r>
    </w:p>
    <w:p w:rsidR="00000000" w:rsidRDefault="00BD4D53">
      <w:pPr>
        <w:pStyle w:val="a3"/>
      </w:pPr>
      <w:r>
        <w:t>Направляем Вам поступивший в НКО АО НРД электронный документ для голосо</w:t>
      </w:r>
      <w:r>
        <w:t>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BD4D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BD4D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BD4D53" w:rsidRDefault="00BD4D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44F7"/>
    <w:rsid w:val="003544F7"/>
    <w:rsid w:val="00B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8DCE9-151B-4930-980E-4866982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95073b9bf648259180089d72db5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2020-01-27T04:45:00Z</dcterms:created>
  <dcterms:modified xsi:type="dcterms:W3CDTF">2020-01-27T04:45:00Z</dcterms:modified>
</cp:coreProperties>
</file>