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2764">
      <w:pPr>
        <w:pStyle w:val="a3"/>
        <w:divId w:val="8272837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728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33447053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</w:tr>
      <w:tr w:rsidR="00000000">
        <w:trPr>
          <w:divId w:val="82728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</w:tr>
      <w:tr w:rsidR="00000000">
        <w:trPr>
          <w:divId w:val="82728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33286837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</w:tr>
      <w:tr w:rsidR="00000000">
        <w:trPr>
          <w:divId w:val="82728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728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276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 (Электронная форма бюллетеня может быть заполнена в мобильном при</w:t>
            </w:r>
            <w:r>
              <w:rPr>
                <w:rFonts w:eastAsia="Times New Roman"/>
              </w:rPr>
              <w:br/>
              <w:t>ложении "Акционер ВТБ" и на сайте www.vtbreg.ru)</w:t>
            </w:r>
          </w:p>
        </w:tc>
      </w:tr>
    </w:tbl>
    <w:p w:rsidR="00000000" w:rsidRDefault="001F27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F27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</w:t>
            </w:r>
          </w:p>
        </w:tc>
      </w:tr>
    </w:tbl>
    <w:p w:rsidR="00000000" w:rsidRDefault="001F27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111033., Электронная форм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br/>
              <w:t>бюллетеня может быть заполнена на сайте www.vtbreg.ru и мобильном прил</w:t>
            </w:r>
            <w:r>
              <w:rPr>
                <w:rFonts w:eastAsia="Times New Roman"/>
              </w:rPr>
              <w:br/>
              <w:t>ожении "Акционер ВТБ".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1F27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3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Банка ВТБ (ПАО) за 2018 год. (см. примечание в файле "Примечание к вопрсам 1 и 2.pdf")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</w:t>
            </w:r>
            <w:r>
              <w:rPr>
                <w:rFonts w:eastAsia="Times New Roman"/>
              </w:rPr>
              <w:t xml:space="preserve">ть Банка ВТБ (ПАО) за 2018 год. (см. примечание в файле "Примечание к вопрсам 1 и 2.pdf")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Банка ВТБ (ПАО)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2018 года в следующем порядке: - чистая прибыль к распределению, всего 230 906 903 335,16 рублей; - отчисления в Резервный фонд 11 545 345 166,76 рублей; - отчисления для выплаты дивидендов по ра</w:t>
            </w:r>
            <w:r>
              <w:rPr>
                <w:rFonts w:eastAsia="Times New Roman"/>
              </w:rPr>
              <w:t>змещенным обыкновенным именным акциям Банка ВТБ (ПАО) 14 239 456 640,85 рублей; - отчисления для выплаты дивидендов по размещенным привилегированным именным акциям Банка ВТБ (ПАО) первого типа 5 164 109 976,47 рублей; - отчисления для выплаты дивидендов по</w:t>
            </w:r>
            <w:r>
              <w:rPr>
                <w:rFonts w:eastAsia="Times New Roman"/>
              </w:rPr>
              <w:t xml:space="preserve"> размещенным привилегированным именным акциям Банка ВТБ (ПАО) второго типа 7 416 433 382,68 рублей; - нераспределенная чистая прибыль 192 541 558 168,40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</w:t>
            </w:r>
            <w:r>
              <w:rPr>
                <w:rFonts w:eastAsia="Times New Roman"/>
              </w:rPr>
              <w:t xml:space="preserve">льтатам 2018 года дивидендов в размере: - 0,00109867761463259 рубля на одну размещенную обыкновенную именную акцию Банка ВТБ (ПАО) номинальной стоимостью 0,01 рубля; - 0,00024127074137541 рубля на одну размещенную привилегированную именную акцию Банка ВТБ </w:t>
            </w:r>
            <w:r>
              <w:rPr>
                <w:rFonts w:eastAsia="Times New Roman"/>
              </w:rPr>
              <w:t>(ПАО) первого типа номинальной стоимостью 0,01 рубля; - 0,0024127074137541 рубля на одну размещенную привилегированную именную акцию Банка ВТБ (ПАО) второго типа номинальной стоимостью 0,1 рубля. 2. Определить, что дивиденды по результатам 2018 года выплач</w:t>
            </w:r>
            <w:r>
              <w:rPr>
                <w:rFonts w:eastAsia="Times New Roman"/>
              </w:rPr>
              <w:t xml:space="preserve">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</w:t>
            </w:r>
            <w:r>
              <w:rPr>
                <w:rFonts w:eastAsia="Times New Roman"/>
              </w:rPr>
              <w:lastRenderedPageBreak/>
              <w:t>при расчете производится по правилам математического округления. ... полную формули</w:t>
            </w:r>
            <w:r>
              <w:rPr>
                <w:rFonts w:eastAsia="Times New Roman"/>
              </w:rPr>
              <w:t xml:space="preserve">ровку см. в файле "Проект решения по вопросу 4.pdf"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</w:t>
            </w:r>
            <w:r>
              <w:rPr>
                <w:rFonts w:eastAsia="Times New Roman"/>
              </w:rPr>
              <w:t xml:space="preserve">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Наблюдательного совета Банка ВТБ (ПАО), не являющимся государственными служащими: </w:t>
            </w:r>
            <w:r>
              <w:rPr>
                <w:rFonts w:eastAsia="Times New Roman"/>
              </w:rPr>
              <w:t>- за работу в составе Наблюдательного совета Банка ВТБ (ПАО) – 4 600 000 рублей каждому; - за председательство в Наблюдательном совете Банка ВТБ (ПАО) – 1 380 000 рублей; - за работу в составе комитета Наблюдательного совета Банка ВТБ (ПАО) – 460 000 рубле</w:t>
            </w:r>
            <w:r>
              <w:rPr>
                <w:rFonts w:eastAsia="Times New Roman"/>
              </w:rPr>
              <w:t>й каждому; - за председательство в комитете Наблюдательного совета Банка ВТБ (ПАО) – 920 000 рублей каждому. 2. Компенсировать членам Наблюдательного совета Банка ВТБ (ПАО), не являющимся государственными служащими, в период исполнения ими своих обязанност</w:t>
            </w:r>
            <w:r>
              <w:rPr>
                <w:rFonts w:eastAsia="Times New Roman"/>
              </w:rPr>
              <w:t xml:space="preserve">ей все расходы, связанные с исполнением ими функций членов Наблюдательного совета Банка ВТБ (ПАО), в том числе: проживание, питание, проезд,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</w:t>
            </w:r>
            <w:r>
              <w:rPr>
                <w:rFonts w:eastAsia="Times New Roman"/>
              </w:rPr>
              <w:t>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Ревизионной комиссии Банка ВТБ (ПАО), не являющимся государственными служащими: - за работу в составе Ревизионной комиссии Банка ВТБ (ПАО) – 916 690 рублей каждому; - за председательство в Ревизионной комиссии</w:t>
            </w:r>
            <w:r>
              <w:rPr>
                <w:rFonts w:eastAsia="Times New Roman"/>
              </w:rPr>
              <w:t xml:space="preserve"> Банка ВТБ (ПАО) – 275 007 рублей. 2. Компенсировать членам Ревизионной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</w:t>
            </w:r>
            <w:r>
              <w:rPr>
                <w:rFonts w:eastAsia="Times New Roman"/>
              </w:rPr>
              <w:t xml:space="preserve">сии Банка ВТБ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Наблюдательный совет Банка ВТБ (ПАО): (формулировку проекта решения см. в файле "Проект решения по вопросу 8.pdf")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</w:t>
            </w:r>
            <w:r>
              <w:rPr>
                <w:rFonts w:eastAsia="Times New Roman"/>
              </w:rPr>
              <w:t>ов Ревизионной комиссии (ревизора)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Васильченко Александра Сергеевича; 2. Гонтмахера Евгения Шлёмовича; 3. Краснова Михаила Петровича; </w:t>
            </w:r>
            <w:r>
              <w:rPr>
                <w:rFonts w:eastAsia="Times New Roman"/>
              </w:rPr>
              <w:t xml:space="preserve">4. Ольшанову Анастасию Сергеевну; 5. Сабанцева Захара Борисовича; 6. Соскова Вадима Викторовича.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Устава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(ПАО)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Президенту-Пр</w:t>
            </w:r>
            <w:r>
              <w:rPr>
                <w:rFonts w:eastAsia="Times New Roman"/>
              </w:rPr>
              <w:t xml:space="preserve">едседателю Правления Банка ВТБ (ПАО) Андрею Леонидовичу Костину. (см. примечание в файле "Примечание к вопрсам 12 13 и 14.pdf")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порядке подготовки, созыва и проведения Общего собрания акционеров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порядке подготовки, созыва и проведения Общего собр</w:t>
            </w:r>
            <w:r>
              <w:rPr>
                <w:rFonts w:eastAsia="Times New Roman"/>
              </w:rPr>
              <w:t xml:space="preserve">ания акционеров Банка ВТБ (ПАО) и ввести ее в действие с даты государственной регистрации новой редакции Устава Банка ВТБ (ПАО). (см. примечание в файле "Примечание к вопрсам 12 13 и 14.pdf")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Наблюдательном совете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</w:t>
            </w:r>
            <w:r>
              <w:rPr>
                <w:rFonts w:eastAsia="Times New Roman"/>
              </w:rPr>
              <w:t xml:space="preserve">новой редакции Устава Банка ВТБ (ПАО). (см. примечание в файле "Примечание к вопрсам 12 13 и 14.pdf") 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27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2764">
      <w:pPr>
        <w:rPr>
          <w:rFonts w:eastAsia="Times New Roman"/>
        </w:rPr>
      </w:pPr>
    </w:p>
    <w:p w:rsidR="00000000" w:rsidRDefault="001F276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1F276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2018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2018 год и установлении даты</w:t>
      </w:r>
      <w:r>
        <w:rPr>
          <w:rFonts w:eastAsia="Times New Roman"/>
        </w:rPr>
        <w:t>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</w:t>
      </w:r>
      <w:r>
        <w:rPr>
          <w:rFonts w:eastAsia="Times New Roman"/>
        </w:rPr>
        <w:t>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7. Об определении количес</w:t>
      </w:r>
      <w:r>
        <w:rPr>
          <w:rFonts w:eastAsia="Times New Roman"/>
        </w:rPr>
        <w:t>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Наблюдательного совета Банка ВТБ (ПАО).</w:t>
      </w:r>
      <w:r>
        <w:rPr>
          <w:rFonts w:eastAsia="Times New Roman"/>
        </w:rPr>
        <w:br/>
        <w:t>9.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10. Избрание членов Ревизионной комиссии (ревизора) Банка ВТ</w:t>
      </w:r>
      <w:r>
        <w:rPr>
          <w:rFonts w:eastAsia="Times New Roman"/>
        </w:rPr>
        <w:t>Б (ПАО).</w:t>
      </w:r>
      <w:r>
        <w:rPr>
          <w:rFonts w:eastAsia="Times New Roman"/>
        </w:rPr>
        <w:br/>
        <w:t>11. Утверждение аудитора Банка ВТБ (ПАО).</w:t>
      </w:r>
      <w:r>
        <w:rPr>
          <w:rFonts w:eastAsia="Times New Roman"/>
        </w:rPr>
        <w:br/>
        <w:t>12. Об утверждении новой редакции Устава Банка ВТБ (ПАО).</w:t>
      </w:r>
      <w:r>
        <w:rPr>
          <w:rFonts w:eastAsia="Times New Roman"/>
        </w:rPr>
        <w:br/>
        <w:t>13. Об утверждении новой редакции Положения о порядке подготовки, созыва и проведения Общего собрания акционеров Банка ВТБ (ПАО).</w:t>
      </w:r>
      <w:r>
        <w:rPr>
          <w:rFonts w:eastAsia="Times New Roman"/>
        </w:rPr>
        <w:br/>
        <w:t>14. Об утверждени</w:t>
      </w:r>
      <w:r>
        <w:rPr>
          <w:rFonts w:eastAsia="Times New Roman"/>
        </w:rPr>
        <w:t xml:space="preserve">и новой редакции Положения о Наблюдательном совете Банка ВТБ (ПАО). </w:t>
      </w:r>
    </w:p>
    <w:p w:rsidR="00000000" w:rsidRDefault="001F276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F2764">
      <w:pPr>
        <w:pStyle w:val="a3"/>
      </w:pPr>
      <w:r>
        <w:t>Сообщение и материалы собрания размещ</w:t>
      </w:r>
      <w:r>
        <w:t>ены на сайте Банка ВТБ (ПАО) https://www.vtb.ru/akcionery-i-investory/informaciya-dlya-akcionerov/obshchee-sobranie-akcionerov/. Электронное голосование будет доступно на сайте www.vtbreg.ru и мобильном приложении "Акционер ВТБ" с даты составления списка л</w:t>
      </w:r>
      <w:r>
        <w:t xml:space="preserve">иц (13.05.19). </w:t>
      </w:r>
    </w:p>
    <w:p w:rsidR="00000000" w:rsidRDefault="001F27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F2764" w:rsidRDefault="001F2764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F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4227"/>
    <w:rsid w:val="001F2764"/>
    <w:rsid w:val="00A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653901-BD5F-4520-98C5-DBCA1A54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1619238749417188b15d464f7ed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2019-05-14T05:57:00Z</dcterms:created>
  <dcterms:modified xsi:type="dcterms:W3CDTF">2019-05-14T05:57:00Z</dcterms:modified>
</cp:coreProperties>
</file>