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055A">
      <w:pPr>
        <w:pStyle w:val="a3"/>
        <w:divId w:val="197382284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73822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21047990</w:t>
            </w:r>
          </w:p>
        </w:tc>
        <w:tc>
          <w:tcPr>
            <w:tcW w:w="0" w:type="auto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</w:p>
        </w:tc>
      </w:tr>
      <w:tr w:rsidR="00000000">
        <w:trPr>
          <w:divId w:val="1973822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</w:p>
        </w:tc>
      </w:tr>
      <w:tr w:rsidR="00000000">
        <w:trPr>
          <w:divId w:val="1973822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20693749</w:t>
            </w:r>
          </w:p>
        </w:tc>
        <w:tc>
          <w:tcPr>
            <w:tcW w:w="0" w:type="auto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</w:p>
        </w:tc>
      </w:tr>
      <w:tr w:rsidR="00000000">
        <w:trPr>
          <w:divId w:val="1973822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3822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055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84"/>
        <w:gridCol w:w="59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257275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2016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Краснодар, ул. Солнечная, 15/5, 3 этаж, конференц-зал.</w:t>
            </w:r>
          </w:p>
        </w:tc>
      </w:tr>
    </w:tbl>
    <w:p w:rsidR="00000000" w:rsidRDefault="00EE05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0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EE05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257279</w:t>
            </w:r>
          </w:p>
        </w:tc>
      </w:tr>
    </w:tbl>
    <w:p w:rsidR="00000000" w:rsidRDefault="00EE05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1"/>
        <w:gridCol w:w="6543"/>
        <w:gridCol w:w="146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E0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именным акциям ПАО «Магнит» по результатам девяти месяцев 2016 отчетного года в размере 11 926 078 092,60 рублей (Одиннадцать миллиардов девятьсот двадцать шесть миллионов семьдесят восемь тысяч девяносто два рубля шесть</w:t>
            </w:r>
            <w:r>
              <w:rPr>
                <w:rFonts w:eastAsia="Times New Roman"/>
              </w:rPr>
              <w:t>десят копеек), что составляет 126,12 рублей (Сто двадцать шесть рублей двенадцать копеек) на одну обыкновенную акцию. Установить следующую дату, на которую определяются лица, имеющие право на получение дивидендов: 23 декабря 2016 года. Выплату дивидендов о</w:t>
            </w:r>
            <w:r>
              <w:rPr>
                <w:rFonts w:eastAsia="Times New Roman"/>
              </w:rPr>
              <w:t xml:space="preserve">существить в денежной форме, в порядке и сроки, установленные законодательством Российской Федерации.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72530866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Ревизионной комиссии ПАО «Магнит», избранных годовым общим собранием акционеров 02.06.2016 года (протокол б/н от 03.06.2016г.).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72272927</w:t>
            </w:r>
            <w:r>
              <w:rPr>
                <w:rFonts w:eastAsia="Times New Roman"/>
              </w:rPr>
              <w:br/>
              <w:t>Воздержался: 257939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</w:t>
            </w:r>
            <w:r>
              <w:rPr>
                <w:rFonts w:eastAsia="Times New Roman"/>
              </w:rPr>
              <w:t>ть Ревизионную комиссию ПАО «Магнит» в количестве 3 человек в составе: Ефименко Роман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37600800</w:t>
            </w:r>
            <w:r>
              <w:rPr>
                <w:rFonts w:eastAsia="Times New Roman"/>
              </w:rPr>
              <w:br/>
              <w:t>Против: 445952</w:t>
            </w:r>
            <w:r>
              <w:rPr>
                <w:rFonts w:eastAsia="Times New Roman"/>
              </w:rPr>
              <w:br/>
              <w:t>Воздержался: 272499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«Магнит» в количестве 3 человек в составе: Удовиченко Анжела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37600800</w:t>
            </w:r>
            <w:r>
              <w:rPr>
                <w:rFonts w:eastAsia="Times New Roman"/>
              </w:rPr>
              <w:br/>
              <w:t>Против: 445952</w:t>
            </w:r>
            <w:r>
              <w:rPr>
                <w:rFonts w:eastAsia="Times New Roman"/>
              </w:rPr>
              <w:br/>
              <w:t>Воздержался: 272499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«Магнит» в количестве 3 человек в составе: Шагуч Любовь Азметовна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37600800</w:t>
            </w:r>
            <w:r>
              <w:rPr>
                <w:rFonts w:eastAsia="Times New Roman"/>
              </w:rPr>
              <w:br/>
              <w:t>Против: 445952</w:t>
            </w:r>
            <w:r>
              <w:rPr>
                <w:rFonts w:eastAsia="Times New Roman"/>
              </w:rPr>
              <w:br/>
              <w:t>Воздержался: 272499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договор займа (несколько взаимосвязанных договоро</w:t>
            </w:r>
            <w:r>
              <w:rPr>
                <w:rFonts w:eastAsia="Times New Roman"/>
              </w:rPr>
              <w:t xml:space="preserve">в займа), который Общество планирует совершить в будущем с Акционерным обществом «Тандер», являющийся крупной сделкой, в совершении которой имеется заинтересованность, на следующих условиях: 1. стороны сделки (сделок): займодавец – ПАО «Магнит», заемщик – </w:t>
            </w:r>
            <w:r>
              <w:rPr>
                <w:rFonts w:eastAsia="Times New Roman"/>
              </w:rPr>
              <w:t>АО «Тандер»; 2. предмет сделки (сделок): заем денежных средств; 3. предельная цена (сумма) сделки (сделок): не более 58 000 000 000 (Пятидесяти восьми миллиардов) рублей; 4. процентная ставка по займу (годовых): не более 125 (Ста двадцати пяти) процентов о</w:t>
            </w:r>
            <w:r>
              <w:rPr>
                <w:rFonts w:eastAsia="Times New Roman"/>
              </w:rPr>
              <w:t>т ключевой ставки Банка России (публикуемой на официальном сайте Банка России в сети Интернет (www.cbr.ru) на дату выдачи займа; 5. предельный срок исполнения обязательств по сделке (сделкам): до 3 (Трех) лет с момента совершения (срок возврата Заемщиком с</w:t>
            </w:r>
            <w:r>
              <w:rPr>
                <w:rFonts w:eastAsia="Times New Roman"/>
              </w:rPr>
              <w:t xml:space="preserve">уммы займа и процентов). Цена (денежная оценка) имущества Общества, которое может быть прямо или косвенно отчуждено Обществом по договору займа (неско Полный текст содержится в Решение 4.1.rtf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71921242</w:t>
            </w:r>
            <w:r>
              <w:rPr>
                <w:rFonts w:eastAsia="Times New Roman"/>
              </w:rPr>
              <w:br/>
              <w:t>Против: 10558</w:t>
            </w:r>
            <w:r>
              <w:rPr>
                <w:rFonts w:eastAsia="Times New Roman"/>
              </w:rPr>
              <w:br/>
              <w:t>Воздержался: 2481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договор поручительства (несколько взаимосвязанных договоров поручительства), который Общество планирует совершить в будущем в обеспечение исполнения обязательств Акционерного общества «Тандер» (выгодоприобретатель</w:t>
            </w:r>
            <w:r>
              <w:rPr>
                <w:rFonts w:eastAsia="Times New Roman"/>
              </w:rPr>
              <w:t>) (далее – Заемщик) перед Публичным акционерным обществом «Сбербанк России» (далее – Кредитор) по договорам об открытии возобновляемой/ невозобновляемой кредитной линии и (или) Генеральным соглашениям об открытии возобновляемой рамочной кредитной линии с д</w:t>
            </w:r>
            <w:r>
              <w:rPr>
                <w:rFonts w:eastAsia="Times New Roman"/>
              </w:rPr>
              <w:t>ифференцированными процентными ставками (далее – Соглашения), которые Заемщик планирует совершить в будущем, являющийся крупной сделкой, в совершении которой имеется заинтересованность, на следующих условиях: 1. в рамках Соглашений Кредитор и Заемщик заклю</w:t>
            </w:r>
            <w:r>
              <w:rPr>
                <w:rFonts w:eastAsia="Times New Roman"/>
              </w:rPr>
              <w:t>чают отдельные кредитные сделки (далее – Кредитные сделки) путем подписания подтверждений, содержащих существенные условия Кредитной сделки; 2. общая сумма лимита кредитования по Соглашениям составляет не более 30 000 000 000 (Тридцати миллиардов Полный те</w:t>
            </w:r>
            <w:r>
              <w:rPr>
                <w:rFonts w:eastAsia="Times New Roman"/>
              </w:rPr>
              <w:t xml:space="preserve">кст содержится в Решение 4.2.rtf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71829083</w:t>
            </w:r>
            <w:r>
              <w:rPr>
                <w:rFonts w:eastAsia="Times New Roman"/>
              </w:rPr>
              <w:br/>
              <w:t>Против: 103033</w:t>
            </w:r>
            <w:r>
              <w:rPr>
                <w:rFonts w:eastAsia="Times New Roman"/>
              </w:rPr>
              <w:br/>
              <w:t>Воздержался: 2165</w:t>
            </w:r>
          </w:p>
        </w:tc>
      </w:tr>
    </w:tbl>
    <w:p w:rsidR="00000000" w:rsidRDefault="00EE055A">
      <w:pPr>
        <w:rPr>
          <w:rFonts w:eastAsia="Times New Roman"/>
        </w:rPr>
      </w:pPr>
    </w:p>
    <w:p w:rsidR="00000000" w:rsidRDefault="00EE055A">
      <w:pPr>
        <w:pStyle w:val="a3"/>
      </w:pPr>
      <w:r>
        <w:t xml:space="preserve">4.10. Информация о решениях, принятых общим собранием акционеров, а также об итогах голосования на общем собрании акционеров </w:t>
      </w:r>
      <w:r>
        <w:t xml:space="preserve">(Положение 546-П от 01.06.2016). </w:t>
      </w:r>
    </w:p>
    <w:p w:rsidR="00000000" w:rsidRDefault="00EE055A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E05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E055A" w:rsidRDefault="00EE055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rPr>
          <w:rFonts w:eastAsia="Times New Roman"/>
        </w:rPr>
        <w:t>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EE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92998"/>
    <w:rsid w:val="00B92998"/>
    <w:rsid w:val="00EE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2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646eab44e14b63933987a48502a5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2016-12-13T04:17:00Z</dcterms:created>
  <dcterms:modified xsi:type="dcterms:W3CDTF">2016-12-13T04:17:00Z</dcterms:modified>
</cp:coreProperties>
</file>