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DDF">
      <w:pPr>
        <w:pStyle w:val="a3"/>
        <w:divId w:val="18303604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036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67139757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</w:p>
        </w:tc>
      </w:tr>
      <w:tr w:rsidR="00000000">
        <w:trPr>
          <w:divId w:val="183036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</w:p>
        </w:tc>
      </w:tr>
      <w:tr w:rsidR="00000000">
        <w:trPr>
          <w:divId w:val="183036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67003495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</w:p>
        </w:tc>
      </w:tr>
      <w:tr w:rsidR="00000000">
        <w:trPr>
          <w:divId w:val="183036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036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DD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3D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D3D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</w:p>
        </w:tc>
      </w:tr>
    </w:tbl>
    <w:p w:rsidR="00000000" w:rsidRDefault="007D3D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D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D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7D3DDF">
      <w:pPr>
        <w:rPr>
          <w:rFonts w:eastAsia="Times New Roman"/>
        </w:rPr>
      </w:pPr>
    </w:p>
    <w:p w:rsidR="00000000" w:rsidRDefault="007D3D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3DDF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2021 финансового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аудитора Общества.</w:t>
      </w:r>
      <w:r>
        <w:rPr>
          <w:rFonts w:eastAsia="Times New Roman"/>
        </w:rPr>
        <w:br/>
        <w:t xml:space="preserve">4. Об утверждении Устава ПАО «Мечел» в новой редакции. </w:t>
      </w:r>
    </w:p>
    <w:p w:rsidR="00000000" w:rsidRDefault="007D3D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7D3DD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7D3DDF">
      <w:pPr>
        <w:rPr>
          <w:rFonts w:eastAsia="Times New Roman"/>
        </w:rPr>
      </w:pPr>
      <w:r>
        <w:rPr>
          <w:rFonts w:eastAsia="Times New Roman"/>
        </w:rPr>
        <w:br/>
      </w:r>
    </w:p>
    <w:p w:rsidR="007D3DDF" w:rsidRDefault="007D3D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0297"/>
    <w:rsid w:val="007D3DDF"/>
    <w:rsid w:val="00E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56CE3-1280-42A9-9CB5-9BE0948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f1f3e2f2fc4e44a864d11eb82f7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2022-06-07T05:03:00Z</dcterms:created>
  <dcterms:modified xsi:type="dcterms:W3CDTF">2022-06-07T05:03:00Z</dcterms:modified>
</cp:coreProperties>
</file>