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6548">
      <w:pPr>
        <w:pStyle w:val="a3"/>
        <w:divId w:val="18061909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619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103972288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</w:p>
        </w:tc>
      </w:tr>
      <w:tr w:rsidR="00000000">
        <w:trPr>
          <w:divId w:val="180619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</w:p>
        </w:tc>
      </w:tr>
      <w:tr w:rsidR="00000000">
        <w:trPr>
          <w:divId w:val="180619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619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6548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</w:tbl>
    <w:p w:rsidR="00000000" w:rsidRDefault="002E65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673725X74032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E65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100% от номинальной стоимости (1000 рублей), дополнительно к цене приобретени</w:t>
            </w:r>
            <w:r>
              <w:rPr>
                <w:rFonts w:eastAsia="Times New Roman"/>
              </w:rPr>
              <w:t>я уплачивается НКД на дату приобретения Биржевых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февраля 2025 г. по 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2E6548">
      <w:pPr>
        <w:rPr>
          <w:rFonts w:eastAsia="Times New Roman"/>
        </w:rPr>
      </w:pPr>
    </w:p>
    <w:p w:rsidR="00000000" w:rsidRDefault="002E6548">
      <w:pPr>
        <w:pStyle w:val="a3"/>
      </w:pPr>
      <w:r>
        <w:t>Настоящим сообщаем о полу</w:t>
      </w:r>
      <w:r>
        <w:t>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>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E6548">
      <w:pPr>
        <w:pStyle w:val="a3"/>
      </w:pPr>
      <w:r>
        <w:t>15.4 Информация о возникновении у владельцев облигаций права требовать от эмитента приобретения принадлежащих им обл</w:t>
      </w:r>
      <w:r>
        <w:t xml:space="preserve">игаций </w:t>
      </w:r>
    </w:p>
    <w:p w:rsidR="00000000" w:rsidRDefault="002E65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E6548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E6548">
      <w:pPr>
        <w:rPr>
          <w:rFonts w:eastAsia="Times New Roman"/>
        </w:rPr>
      </w:pPr>
      <w:r>
        <w:rPr>
          <w:rFonts w:eastAsia="Times New Roman"/>
        </w:rPr>
        <w:br/>
      </w:r>
    </w:p>
    <w:p w:rsidR="002E6548" w:rsidRDefault="002E6548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5A23"/>
    <w:rsid w:val="002E6548"/>
    <w:rsid w:val="003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4B29A-61B9-4AE6-AE7F-A0A34AC6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3e736e50b542b6b8705a92422f4f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2025-01-27T06:10:00Z</dcterms:created>
  <dcterms:modified xsi:type="dcterms:W3CDTF">2025-01-27T06:10:00Z</dcterms:modified>
</cp:coreProperties>
</file>