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02E67">
      <w:pPr>
        <w:pStyle w:val="a3"/>
        <w:divId w:val="13456720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45672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2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2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39197779</w:t>
            </w:r>
          </w:p>
        </w:tc>
        <w:tc>
          <w:tcPr>
            <w:tcW w:w="0" w:type="auto"/>
            <w:vAlign w:val="center"/>
            <w:hideMark/>
          </w:tcPr>
          <w:p w:rsidR="00000000" w:rsidRDefault="00C02E67">
            <w:pPr>
              <w:rPr>
                <w:rFonts w:eastAsia="Times New Roman"/>
              </w:rPr>
            </w:pPr>
          </w:p>
        </w:tc>
      </w:tr>
      <w:tr w:rsidR="00000000">
        <w:trPr>
          <w:divId w:val="1345672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2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2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2E67">
            <w:pPr>
              <w:rPr>
                <w:rFonts w:eastAsia="Times New Roman"/>
              </w:rPr>
            </w:pPr>
          </w:p>
        </w:tc>
      </w:tr>
      <w:tr w:rsidR="00000000">
        <w:trPr>
          <w:divId w:val="1345672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2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2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2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45672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2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2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2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02E6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"Интер РАО" ИНН 2320109650 (акции 1-04-33498-E / ISIN RU000A0JPNM1, 1-04-33498-E / ISIN 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2E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E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482420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E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E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E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02E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02E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2E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2E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2E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2E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2E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2E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2E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2E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2E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482420X23645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E6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482420X23647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</w:t>
            </w:r>
            <w:r>
              <w:rPr>
                <w:rFonts w:eastAsia="Times New Roman"/>
              </w:rPr>
              <w:t>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C02E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2E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2E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2E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482422</w:t>
            </w:r>
          </w:p>
        </w:tc>
      </w:tr>
    </w:tbl>
    <w:p w:rsidR="00000000" w:rsidRDefault="00C02E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6"/>
        <w:gridCol w:w="235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2E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2E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</w:t>
            </w:r>
            <w:r>
              <w:rPr>
                <w:rFonts w:eastAsia="Times New Roman"/>
              </w:rPr>
              <w:t xml:space="preserve">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C02E67">
      <w:pPr>
        <w:rPr>
          <w:rFonts w:eastAsia="Times New Roman"/>
        </w:rPr>
      </w:pPr>
    </w:p>
    <w:p w:rsidR="00000000" w:rsidRDefault="00C02E6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02E67">
      <w:pPr>
        <w:rPr>
          <w:rFonts w:eastAsia="Times New Roman"/>
        </w:rPr>
      </w:pPr>
      <w:r>
        <w:rPr>
          <w:rFonts w:eastAsia="Times New Roman"/>
        </w:rPr>
        <w:t>1. Утверждение годового отчёта Общества.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Распределение прибыли (в том числе о выплате (объявлении) дивидендов) и убытков ПАО «Интер РАО» по результатам 2019 отчетного года.</w:t>
      </w:r>
      <w:r>
        <w:rPr>
          <w:rFonts w:eastAsia="Times New Roman"/>
        </w:rPr>
        <w:br/>
        <w:t>4. Утверждение Устава Общества в новой редакции.</w:t>
      </w:r>
      <w:r>
        <w:rPr>
          <w:rFonts w:eastAsia="Times New Roman"/>
        </w:rPr>
        <w:br/>
        <w:t>5</w:t>
      </w:r>
      <w:r>
        <w:rPr>
          <w:rFonts w:eastAsia="Times New Roman"/>
        </w:rPr>
        <w:t>. О выплате вознаграждения членам Совета директоров Общества.</w:t>
      </w:r>
      <w:r>
        <w:rPr>
          <w:rFonts w:eastAsia="Times New Roman"/>
        </w:rPr>
        <w:br/>
        <w:t>6. О выплате вознаграждения членам Ревизионной комиссии Общества.</w:t>
      </w:r>
      <w:r>
        <w:rPr>
          <w:rFonts w:eastAsia="Times New Roman"/>
        </w:rPr>
        <w:br/>
        <w:t>7. Избрание членов Совета директоров Общества.</w:t>
      </w:r>
      <w:r>
        <w:rPr>
          <w:rFonts w:eastAsia="Times New Roman"/>
        </w:rPr>
        <w:br/>
        <w:t>8. Избрание членов Ревизионной комиссии Общества.</w:t>
      </w:r>
      <w:r>
        <w:rPr>
          <w:rFonts w:eastAsia="Times New Roman"/>
        </w:rPr>
        <w:br/>
        <w:t>9. Утверждение аудитора Обществ</w:t>
      </w:r>
      <w:r>
        <w:rPr>
          <w:rFonts w:eastAsia="Times New Roman"/>
        </w:rPr>
        <w:t xml:space="preserve">а. </w:t>
      </w:r>
    </w:p>
    <w:p w:rsidR="00000000" w:rsidRDefault="00C02E6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</w:t>
      </w:r>
      <w:r>
        <w:t xml:space="preserve">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02E67">
      <w:pPr>
        <w:pStyle w:val="a3"/>
      </w:pPr>
      <w:r>
        <w:t>4.2. Информация о созыве общего собрания акционеров эмитента.</w:t>
      </w:r>
    </w:p>
    <w:p w:rsidR="00000000" w:rsidRDefault="00C02E67">
      <w:pPr>
        <w:pStyle w:val="a3"/>
      </w:pPr>
      <w:r>
        <w:t>Электронная форма бюллетен</w:t>
      </w:r>
      <w:r>
        <w:t xml:space="preserve">я для голосования может быть заполнена в информационно-телекоммуникационной сети «Интернет» по следующему адресу: https://www.vtbreg.ru и мобильном приложении "Кворум". </w:t>
      </w:r>
    </w:p>
    <w:p w:rsidR="00000000" w:rsidRDefault="00C02E6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Информация для акционеров</w:t>
        </w:r>
      </w:hyperlink>
      <w:r>
        <w:t xml:space="preserve"> (68 Кб) </w:t>
      </w:r>
    </w:p>
    <w:p w:rsidR="00000000" w:rsidRDefault="00C02E6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</w:t>
      </w:r>
      <w:r>
        <w:t>count  manager (495) 956-27-90, (495) 956-27-91</w:t>
      </w:r>
    </w:p>
    <w:p w:rsidR="00C02E67" w:rsidRDefault="00C02E6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02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4048A"/>
    <w:rsid w:val="0054048A"/>
    <w:rsid w:val="00C0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C4FE91-4E0E-48F1-9CF1-B09EA3FF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InterRAO190520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2020-03-24T08:27:00Z</dcterms:created>
  <dcterms:modified xsi:type="dcterms:W3CDTF">2020-03-24T08:27:00Z</dcterms:modified>
</cp:coreProperties>
</file>