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A7B51">
      <w:pPr>
        <w:pStyle w:val="a3"/>
        <w:divId w:val="1099302564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09930256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A7B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A7B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33368996</w:t>
            </w:r>
          </w:p>
        </w:tc>
        <w:tc>
          <w:tcPr>
            <w:tcW w:w="0" w:type="auto"/>
            <w:vAlign w:val="center"/>
            <w:hideMark/>
          </w:tcPr>
          <w:p w:rsidR="00000000" w:rsidRDefault="00DA7B51">
            <w:pPr>
              <w:rPr>
                <w:rFonts w:eastAsia="Times New Roman"/>
              </w:rPr>
            </w:pPr>
          </w:p>
        </w:tc>
      </w:tr>
      <w:tr w:rsidR="00000000">
        <w:trPr>
          <w:divId w:val="109930256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A7B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A7B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A7B51">
            <w:pPr>
              <w:rPr>
                <w:rFonts w:eastAsia="Times New Roman"/>
              </w:rPr>
            </w:pPr>
          </w:p>
        </w:tc>
      </w:tr>
      <w:tr w:rsidR="00000000">
        <w:trPr>
          <w:divId w:val="109930256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A7B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A7B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A7B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09930256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A7B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A7B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A7B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A7B51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"Акрон" ИНН 5321029508 (акция 1-03-00207-A / ISIN RU0009028674)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46"/>
        <w:gridCol w:w="530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A7B5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7B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7B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413112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7B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7B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7B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7B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7B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7B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июня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7B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7B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июня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7B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7B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июня 2019 г.</w:t>
            </w:r>
          </w:p>
        </w:tc>
      </w:tr>
    </w:tbl>
    <w:p w:rsidR="00000000" w:rsidRDefault="00DA7B5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840"/>
        <w:gridCol w:w="1840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DA7B5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A7B5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A7B5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A7B5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A7B5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A7B5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A7B5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A7B5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A7B5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7B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413112X6996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7B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"Акрон"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7B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1-03-00207-A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7B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ноября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7B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7B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RU0009028674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7B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RU0009028674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7B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DA7B5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A7B5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7B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7B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RU0009028674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7B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7B5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7B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7B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7B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7B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7B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7B5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2018 г.</w:t>
            </w:r>
          </w:p>
        </w:tc>
      </w:tr>
    </w:tbl>
    <w:p w:rsidR="00000000" w:rsidRDefault="00DA7B5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A7B5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A7B5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A7B5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7B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7B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410435</w:t>
            </w:r>
          </w:p>
        </w:tc>
      </w:tr>
    </w:tbl>
    <w:p w:rsidR="00000000" w:rsidRDefault="00DA7B51">
      <w:pPr>
        <w:rPr>
          <w:rFonts w:eastAsia="Times New Roman"/>
        </w:rPr>
      </w:pPr>
    </w:p>
    <w:p w:rsidR="00000000" w:rsidRDefault="00DA7B51">
      <w:pPr>
        <w:pStyle w:val="a3"/>
      </w:pPr>
      <w:r>
        <w:t xml:space="preserve">Настоящим сообщаем о получении НКО АО НРД информации, </w:t>
      </w:r>
      <w:r>
        <w:t xml:space="preserve">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</w:t>
      </w:r>
      <w:r>
        <w:lastRenderedPageBreak/>
        <w:t>предоставляемой эмитентами центральному депозитарию, порядке и сроках ее предоста</w:t>
      </w:r>
      <w:r>
        <w:t xml:space="preserve">вления, а также о требованиях к порядку предоставления центральным депозитарием доступа к такой информации". </w:t>
      </w:r>
    </w:p>
    <w:p w:rsidR="00000000" w:rsidRDefault="00DA7B51">
      <w:pPr>
        <w:pStyle w:val="a3"/>
      </w:pPr>
      <w:r>
        <w:t>9.2. Информация о рекомендациях совета директоров (наблюдательного совета) эмитента в отношении размеров дивидендов по акциям и порядка их выплаты</w:t>
      </w:r>
      <w:r>
        <w:t xml:space="preserve">. </w:t>
      </w:r>
    </w:p>
    <w:p w:rsidR="00000000" w:rsidRDefault="00DA7B51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DA7B51" w:rsidRDefault="00DA7B51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DA7B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F7FEF"/>
    <w:rsid w:val="00AF7FEF"/>
    <w:rsid w:val="00DA7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3CAA371-75E5-427B-BB6E-660336580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9302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4556f1591fa545ae969929195c0c2d8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2019-05-08T08:06:00Z</dcterms:created>
  <dcterms:modified xsi:type="dcterms:W3CDTF">2019-05-08T08:06:00Z</dcterms:modified>
</cp:coreProperties>
</file>