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A2E30">
      <w:pPr>
        <w:pStyle w:val="a3"/>
        <w:divId w:val="53550917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550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61478612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</w:p>
        </w:tc>
      </w:tr>
      <w:tr w:rsidR="00000000">
        <w:trPr>
          <w:divId w:val="53550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</w:p>
        </w:tc>
      </w:tr>
      <w:tr w:rsidR="00000000">
        <w:trPr>
          <w:divId w:val="53550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61456792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</w:p>
        </w:tc>
      </w:tr>
      <w:tr w:rsidR="00000000">
        <w:trPr>
          <w:divId w:val="53550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55091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A2E3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"ПИК СЗ" ИНН 7713011336 (акция 1-02-01556-A / ISIN 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654365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типа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января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A2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97"/>
        <w:gridCol w:w="1992"/>
        <w:gridCol w:w="1394"/>
        <w:gridCol w:w="1527"/>
        <w:gridCol w:w="1614"/>
        <w:gridCol w:w="156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654365X8708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"ПИК-специализированный застройщик"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AA2E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6523"/>
        <w:gridCol w:w="145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A2E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В соответствии с подпунктом 21 пункта 1 статьи 18 Устава Общества принять решение о согласии на совершение сделки в совершении </w:t>
            </w:r>
            <w:r>
              <w:rPr>
                <w:rFonts w:eastAsia="Times New Roman"/>
              </w:rPr>
              <w:t>которой имеется заинтересованность (далее – «Сделка»), которая оформляется путем заключения и подписания Обществом среди прочего всех или некоторых из следующих договоров и документов: (i) Дополнительной гарантии (Further Guarantee) между Обществом, Общест</w:t>
            </w:r>
            <w:r>
              <w:rPr>
                <w:rFonts w:eastAsia="Times New Roman"/>
              </w:rPr>
              <w:t>вом с ограниченной ответственностью «ПИК-Корпорация» (далее – «ПИК-Корпорация»), PIK Securities Designated Activity Company (далее – «Эмитент»), BNY Mellon Corporate Trustee Services Limited в качестве Доверительного управляющего (Trustee) (далее – «Довери</w:t>
            </w:r>
            <w:r>
              <w:rPr>
                <w:rFonts w:eastAsia="Times New Roman"/>
              </w:rPr>
              <w:t xml:space="preserve">тельный управляющий»), The Bank </w:t>
            </w:r>
            <w:r>
              <w:rPr>
                <w:rFonts w:eastAsia="Times New Roman"/>
              </w:rPr>
              <w:lastRenderedPageBreak/>
              <w:t>of New York Mellon, London Branch, в качестве Главного платежного агента (Principal Paying Agent) и The Bank of New York Mellon SA/NV, Dublin Branch, в качестве Трансфер-агента (Transfer Agent) и Регистратора (Registrar) (да</w:t>
            </w:r>
            <w:r>
              <w:rPr>
                <w:rFonts w:eastAsia="Times New Roman"/>
              </w:rPr>
              <w:t xml:space="preserve">лее совместно с Главным платежным агентом – «Агенты») и/или иными лицами, указанными в дополнительной гарантии (далее – «Допол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A2E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90944873</w:t>
            </w:r>
            <w:r>
              <w:rPr>
                <w:rFonts w:eastAsia="Times New Roman"/>
              </w:rPr>
              <w:br/>
              <w:t>Против: 4646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AA2E30">
      <w:pPr>
        <w:rPr>
          <w:rFonts w:eastAsia="Times New Roman"/>
        </w:rPr>
      </w:pPr>
    </w:p>
    <w:p w:rsidR="00000000" w:rsidRDefault="00AA2E3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 xml:space="preserve">их лиц. </w:t>
      </w:r>
    </w:p>
    <w:p w:rsidR="00000000" w:rsidRDefault="00AA2E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A2E30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A2E30">
      <w:pPr>
        <w:rPr>
          <w:rFonts w:eastAsia="Times New Roman"/>
        </w:rPr>
      </w:pPr>
      <w:r>
        <w:rPr>
          <w:rFonts w:eastAsia="Times New Roman"/>
        </w:rPr>
        <w:br/>
      </w:r>
    </w:p>
    <w:p w:rsidR="00AA2E30" w:rsidRDefault="00AA2E30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A2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582E"/>
    <w:rsid w:val="00AA2E30"/>
    <w:rsid w:val="00C5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02D604-867E-4641-A0A3-B4723D53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19393fe1c4c44b6a64270528dd4aad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2022-01-24T05:00:00Z</dcterms:created>
  <dcterms:modified xsi:type="dcterms:W3CDTF">2022-01-24T05:00:00Z</dcterms:modified>
</cp:coreProperties>
</file>