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0268C">
      <w:pPr>
        <w:pStyle w:val="a3"/>
        <w:divId w:val="490289422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49028942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026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026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71883810</w:t>
            </w:r>
          </w:p>
        </w:tc>
        <w:tc>
          <w:tcPr>
            <w:tcW w:w="0" w:type="auto"/>
            <w:vAlign w:val="center"/>
            <w:hideMark/>
          </w:tcPr>
          <w:p w:rsidR="00000000" w:rsidRDefault="0020268C">
            <w:pPr>
              <w:rPr>
                <w:rFonts w:eastAsia="Times New Roman"/>
              </w:rPr>
            </w:pPr>
          </w:p>
        </w:tc>
      </w:tr>
      <w:tr w:rsidR="00000000">
        <w:trPr>
          <w:divId w:val="49028942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026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026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0268C">
            <w:pPr>
              <w:rPr>
                <w:rFonts w:eastAsia="Times New Roman"/>
              </w:rPr>
            </w:pPr>
          </w:p>
        </w:tc>
      </w:tr>
      <w:tr w:rsidR="00000000">
        <w:trPr>
          <w:divId w:val="49028942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026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026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026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9028942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026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026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026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0268C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"ЛУКОЙЛ" ИНН 7708004767 (акция 1-01-00077-A / ISIN RU0009024277)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026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26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268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747774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26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268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26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268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26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26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05 декабря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26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26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ноября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26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268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20268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2026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026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026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026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026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026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026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026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026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26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747774X4589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26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"Нефтяная компания "ЛУКОЙЛ"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26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26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июня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26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26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26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26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"Регистратор "Гарант"</w:t>
            </w:r>
          </w:p>
        </w:tc>
      </w:tr>
    </w:tbl>
    <w:p w:rsidR="00000000" w:rsidRDefault="0020268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59"/>
        <w:gridCol w:w="189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026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26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26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02 декабря 2022 г. 20:00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26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26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декабря 2022 г. 23:59 МСК</w:t>
            </w:r>
          </w:p>
        </w:tc>
      </w:tr>
    </w:tbl>
    <w:p w:rsidR="00000000" w:rsidRDefault="0020268C">
      <w:pPr>
        <w:rPr>
          <w:rFonts w:eastAsia="Times New Roman"/>
        </w:rPr>
      </w:pPr>
    </w:p>
    <w:p w:rsidR="00000000" w:rsidRDefault="0020268C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20268C">
      <w:pPr>
        <w:rPr>
          <w:rFonts w:eastAsia="Times New Roman"/>
        </w:rPr>
      </w:pPr>
      <w:r>
        <w:rPr>
          <w:rFonts w:eastAsia="Times New Roman"/>
        </w:rPr>
        <w:t>Повестка дня общего собрания акционеров эмитента не раскрывается в соответствии с Постановлением П</w:t>
      </w:r>
      <w:r>
        <w:rPr>
          <w:rFonts w:eastAsia="Times New Roman"/>
        </w:rPr>
        <w:t xml:space="preserve">равительства Российской Федерации от 13 марта 2022 года №351. </w:t>
      </w:r>
    </w:p>
    <w:p w:rsidR="00000000" w:rsidRDefault="0020268C">
      <w:pPr>
        <w:pStyle w:val="a3"/>
      </w:pPr>
      <w:r>
        <w:lastRenderedPageBreak/>
        <w:t xml:space="preserve"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</w:t>
      </w:r>
      <w:r>
        <w:t xml:space="preserve">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20268C">
      <w:pPr>
        <w:pStyle w:val="a3"/>
      </w:pPr>
      <w:r>
        <w:t>4.2 Информация о созыве общ</w:t>
      </w:r>
      <w:r>
        <w:t>его собрания акционеров эмитента</w:t>
      </w:r>
    </w:p>
    <w:p w:rsidR="00000000" w:rsidRDefault="0020268C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</w:t>
      </w:r>
      <w:r>
        <w:t>) 956-27-91</w:t>
      </w:r>
    </w:p>
    <w:p w:rsidR="00000000" w:rsidRDefault="0020268C">
      <w:pPr>
        <w:rPr>
          <w:rFonts w:eastAsia="Times New Roman"/>
        </w:rPr>
      </w:pPr>
      <w:r>
        <w:rPr>
          <w:rFonts w:eastAsia="Times New Roman"/>
        </w:rPr>
        <w:br/>
      </w:r>
    </w:p>
    <w:p w:rsidR="0020268C" w:rsidRDefault="0020268C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2026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07179"/>
    <w:rsid w:val="0020268C"/>
    <w:rsid w:val="00E07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4B23CAD-EEAA-4A92-8C56-2E5C225ED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289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2022-10-31T05:25:00Z</dcterms:created>
  <dcterms:modified xsi:type="dcterms:W3CDTF">2022-10-31T05:25:00Z</dcterms:modified>
</cp:coreProperties>
</file>