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1B4A">
      <w:pPr>
        <w:pStyle w:val="a3"/>
        <w:divId w:val="461454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1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71882073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</w:p>
        </w:tc>
      </w:tr>
      <w:tr w:rsidR="00000000">
        <w:trPr>
          <w:divId w:val="461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</w:p>
        </w:tc>
      </w:tr>
      <w:tr w:rsidR="00000000">
        <w:trPr>
          <w:divId w:val="461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B4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21B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B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21B4A">
      <w:pPr>
        <w:rPr>
          <w:rFonts w:eastAsia="Times New Roman"/>
        </w:rPr>
      </w:pPr>
    </w:p>
    <w:p w:rsidR="00000000" w:rsidRDefault="00A21B4A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</w:t>
      </w:r>
      <w:r>
        <w:t xml:space="preserve">ованиях к порядку предоставления центральным депозитарием доступа к такой информации" </w:t>
      </w:r>
    </w:p>
    <w:p w:rsidR="00000000" w:rsidRDefault="00A21B4A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</w:t>
      </w:r>
      <w:r>
        <w:t xml:space="preserve">ациях совета директоров (наблюдательного совета) эмитента не выплачивать дивиденды </w:t>
      </w:r>
    </w:p>
    <w:p w:rsidR="00000000" w:rsidRDefault="00A21B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A21B4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</w:t>
      </w:r>
      <w:r>
        <w:t>-27-90, (495) 956-27-91</w:t>
      </w:r>
    </w:p>
    <w:p w:rsidR="00000000" w:rsidRDefault="00A21B4A">
      <w:pPr>
        <w:rPr>
          <w:rFonts w:eastAsia="Times New Roman"/>
        </w:rPr>
      </w:pPr>
      <w:r>
        <w:rPr>
          <w:rFonts w:eastAsia="Times New Roman"/>
        </w:rPr>
        <w:br/>
      </w:r>
    </w:p>
    <w:p w:rsidR="00A21B4A" w:rsidRDefault="00A21B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24BD"/>
    <w:rsid w:val="00A21B4A"/>
    <w:rsid w:val="00F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8B1D74-207E-4049-A176-EFB6E386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5d2608c09d4fe7957e8bc27699b8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2022-10-31T05:25:00Z</dcterms:created>
  <dcterms:modified xsi:type="dcterms:W3CDTF">2022-10-31T05:25:00Z</dcterms:modified>
</cp:coreProperties>
</file>