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CC5">
      <w:pPr>
        <w:pStyle w:val="a3"/>
        <w:divId w:val="19765256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76525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25564750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</w:p>
        </w:tc>
      </w:tr>
      <w:tr w:rsidR="00000000">
        <w:trPr>
          <w:divId w:val="1976525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</w:p>
        </w:tc>
      </w:tr>
      <w:tr w:rsidR="00000000">
        <w:trPr>
          <w:divId w:val="1976525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525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1C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1C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61C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C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61CC5">
      <w:pPr>
        <w:rPr>
          <w:rFonts w:eastAsia="Times New Roman"/>
        </w:rPr>
      </w:pPr>
    </w:p>
    <w:p w:rsidR="00000000" w:rsidRDefault="00561C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1CC5">
      <w:pPr>
        <w:rPr>
          <w:rFonts w:eastAsia="Times New Roman"/>
        </w:rPr>
      </w:pPr>
      <w:r>
        <w:rPr>
          <w:rFonts w:eastAsia="Times New Roman"/>
        </w:rPr>
        <w:t xml:space="preserve">1. О крупной сделке (совокупности взаимосвязанных сделок), в совершении которой имеется заинтересованность, аренды (лизинга) двадцати новых реактивных самолетов регионального класса Sukhoi Superjet 100 между ПАО «Аэрофлот», АО «ВЭБ-лизинг» и АО «ГСС»; 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</w:t>
      </w:r>
      <w:r>
        <w:rPr>
          <w:rFonts w:eastAsia="Times New Roman"/>
        </w:rPr>
        <w:t xml:space="preserve">ии рейсов «код-шеринг/блок мест». </w:t>
      </w:r>
    </w:p>
    <w:p w:rsidR="00000000" w:rsidRDefault="00561C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</w:t>
      </w:r>
      <w:r>
        <w:t xml:space="preserve">нта. </w:t>
      </w:r>
    </w:p>
    <w:p w:rsidR="00000000" w:rsidRDefault="00561C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61CC5" w:rsidRDefault="00561C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sectPr w:rsidR="0056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2108"/>
    <w:rsid w:val="00561CC5"/>
    <w:rsid w:val="00B7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2017-11-22T06:44:00Z</dcterms:created>
  <dcterms:modified xsi:type="dcterms:W3CDTF">2017-11-22T06:44:00Z</dcterms:modified>
</cp:coreProperties>
</file>