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4F2A">
      <w:pPr>
        <w:pStyle w:val="a3"/>
        <w:divId w:val="18254642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5464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78442036</w:t>
            </w:r>
          </w:p>
        </w:tc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</w:p>
        </w:tc>
      </w:tr>
      <w:tr w:rsidR="00000000">
        <w:trPr>
          <w:divId w:val="1825464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</w:p>
        </w:tc>
      </w:tr>
      <w:tr w:rsidR="00000000">
        <w:trPr>
          <w:divId w:val="1825464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5464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4F2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F4F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</w:t>
            </w:r>
            <w:r>
              <w:rPr>
                <w:rFonts w:eastAsia="Times New Roman"/>
              </w:rPr>
              <w:t>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FF4F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4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4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F4F2A">
      <w:pPr>
        <w:rPr>
          <w:rFonts w:eastAsia="Times New Roman"/>
        </w:rPr>
      </w:pPr>
    </w:p>
    <w:p w:rsidR="00000000" w:rsidRDefault="00FF4F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4F2A">
      <w:pPr>
        <w:rPr>
          <w:rFonts w:eastAsia="Times New Roman"/>
        </w:rPr>
      </w:pPr>
      <w:r>
        <w:rPr>
          <w:rFonts w:eastAsia="Times New Roman"/>
        </w:rPr>
        <w:t xml:space="preserve">1. Об установлении временного порядка принятия решений органами Общества. </w:t>
      </w:r>
    </w:p>
    <w:p w:rsidR="00000000" w:rsidRDefault="00FF4F2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F4F2A">
      <w:pPr>
        <w:pStyle w:val="a3"/>
      </w:pPr>
      <w:r>
        <w:t>4.2 Информация о созыве общего собрания акционеров эмитента</w:t>
      </w:r>
    </w:p>
    <w:p w:rsidR="00000000" w:rsidRDefault="00FF4F2A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F4F2A">
      <w:pPr>
        <w:rPr>
          <w:rFonts w:eastAsia="Times New Roman"/>
        </w:rPr>
      </w:pPr>
      <w:r>
        <w:rPr>
          <w:rFonts w:eastAsia="Times New Roman"/>
        </w:rPr>
        <w:br/>
      </w:r>
    </w:p>
    <w:p w:rsidR="00FF4F2A" w:rsidRDefault="00FF4F2A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7FAE"/>
    <w:rsid w:val="00097FAE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66067E-C9E2-471E-8E3E-0EB9B4CB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2023-05-23T05:31:00Z</dcterms:created>
  <dcterms:modified xsi:type="dcterms:W3CDTF">2023-05-23T05:31:00Z</dcterms:modified>
</cp:coreProperties>
</file>