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00A6">
      <w:pPr>
        <w:pStyle w:val="a3"/>
        <w:divId w:val="997926670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9979266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115066308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</w:p>
        </w:tc>
      </w:tr>
      <w:tr w:rsidR="00000000">
        <w:trPr>
          <w:divId w:val="9979266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</w:p>
        </w:tc>
      </w:tr>
      <w:tr w:rsidR="00000000">
        <w:trPr>
          <w:divId w:val="9979266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114601871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</w:p>
        </w:tc>
      </w:tr>
      <w:tr w:rsidR="00000000">
        <w:trPr>
          <w:divId w:val="9979266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99792667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AB00A6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"Центрэнергохолдинг" ИНН 7729604395 (акции 1-01-55412-E / ISIN RU000</w:t>
      </w:r>
      <w:r>
        <w:rPr>
          <w:rFonts w:eastAsia="Times New Roman"/>
        </w:rPr>
        <w:t>A0JPVY9, 2-01-55412-E / ISIN RU000A0JPVZ6)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1083596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</w:t>
            </w:r>
            <w:r>
              <w:rPr>
                <w:rFonts w:eastAsia="Times New Roman"/>
              </w:rPr>
              <w:t>вание для принятия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AB00A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357"/>
        <w:gridCol w:w="1992"/>
        <w:gridCol w:w="1394"/>
        <w:gridCol w:w="2071"/>
        <w:gridCol w:w="1614"/>
        <w:gridCol w:w="169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1083596X9737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"Центрэнергохолдинг"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TSEH/01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RU000A0JPVY9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1083596X9738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Публичное акционерное </w:t>
            </w:r>
            <w:r>
              <w:rPr>
                <w:rFonts w:eastAsia="Times New Roman"/>
              </w:rPr>
              <w:lastRenderedPageBreak/>
              <w:t>общество "Центрэнергохолдинг"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2-01-55412-E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TSEHP/01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RU000A0JPVZ6</w:t>
            </w:r>
          </w:p>
        </w:tc>
        <w:tc>
          <w:tcPr>
            <w:tcW w:w="0" w:type="auto"/>
            <w:vAlign w:val="center"/>
            <w:hideMark/>
          </w:tcPr>
          <w:p w:rsidR="00000000" w:rsidRDefault="00AB00A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B00A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1083595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</w:p>
        </w:tc>
      </w:tr>
    </w:tbl>
    <w:p w:rsidR="00000000" w:rsidRDefault="00AB00A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247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</w:t>
            </w:r>
            <w:r>
              <w:rPr>
                <w:rFonts w:eastAsia="Times New Roman"/>
              </w:rPr>
              <w:t>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NOAC Не участвовать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AB00A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</w:t>
            </w:r>
            <w:r>
              <w:rPr>
                <w:rFonts w:eastAsia="Times New Roman"/>
              </w:rPr>
              <w:t xml:space="preserve">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AB00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AB00A6">
      <w:pPr>
        <w:rPr>
          <w:rFonts w:eastAsia="Times New Roman"/>
        </w:rPr>
      </w:pPr>
    </w:p>
    <w:p w:rsidR="00000000" w:rsidRDefault="00AB00A6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AB00A6">
      <w:pPr>
        <w:rPr>
          <w:rFonts w:eastAsia="Times New Roman"/>
        </w:rPr>
      </w:pPr>
      <w:r>
        <w:rPr>
          <w:rFonts w:eastAsia="Times New Roman"/>
        </w:rPr>
        <w:t xml:space="preserve">1. О распределении нераспределенной прибыли Общества, в том числе о выплате дивидендов по результатам 2024 года. </w:t>
      </w:r>
    </w:p>
    <w:p w:rsidR="00000000" w:rsidRDefault="00AB00A6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AB00A6">
      <w:pPr>
        <w:pStyle w:val="a3"/>
      </w:pPr>
      <w:r>
        <w:t>4.2 Информация о созыве общего собрания акционеров эмитента</w:t>
      </w:r>
    </w:p>
    <w:p w:rsidR="00000000" w:rsidRDefault="00AB00A6">
      <w:pPr>
        <w:pStyle w:val="HTML"/>
      </w:pPr>
      <w:r>
        <w:t>По всем вопросам, связанным с н</w:t>
      </w:r>
      <w:r>
        <w:t>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AB00A6">
      <w:pPr>
        <w:rPr>
          <w:rFonts w:eastAsia="Times New Roman"/>
        </w:rPr>
      </w:pPr>
      <w:r>
        <w:rPr>
          <w:rFonts w:eastAsia="Times New Roman"/>
        </w:rPr>
        <w:br/>
      </w:r>
    </w:p>
    <w:p w:rsidR="00AB00A6" w:rsidRDefault="00AB00A6">
      <w:pPr>
        <w:pStyle w:val="HTML"/>
      </w:pPr>
      <w:r>
        <w:lastRenderedPageBreak/>
        <w:t>Настоящий документ является визуализированной форм</w:t>
      </w:r>
      <w:r>
        <w:t>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AB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636C9"/>
    <w:rsid w:val="000636C9"/>
    <w:rsid w:val="00AB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6099C3-5408-4162-913F-6C0605E8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2025-10-02T04:40:00Z</dcterms:created>
  <dcterms:modified xsi:type="dcterms:W3CDTF">2025-10-02T04:40:00Z</dcterms:modified>
</cp:coreProperties>
</file>