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FB7">
      <w:pPr>
        <w:pStyle w:val="a3"/>
        <w:divId w:val="3732349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323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36989066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</w:p>
        </w:tc>
      </w:tr>
      <w:tr w:rsidR="00000000">
        <w:trPr>
          <w:divId w:val="37323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</w:p>
        </w:tc>
      </w:tr>
      <w:tr w:rsidR="00000000">
        <w:trPr>
          <w:divId w:val="37323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36929534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</w:p>
        </w:tc>
      </w:tr>
      <w:tr w:rsidR="00000000">
        <w:trPr>
          <w:divId w:val="37323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323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FB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</w:tbl>
    <w:p w:rsidR="00000000" w:rsidRDefault="00823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23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5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1000.42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Биржевых облигаций определяется как 100 (сто) процентов от непогашенной части номинальной стоимости. Биржевых облигаций. При этом дополнительно выплачивается накопленный купонный доход, рассчитанный на Дату Приобретения Биржевых облигаций</w:t>
            </w:r>
            <w:r>
              <w:rPr>
                <w:rFonts w:eastAsia="Times New Roman"/>
              </w:rPr>
              <w:t>. Порядок определения накопленного купонного дохода по Биржевым облигациям: &lt;br/&gt;НКД = Cj * Nom * (T - T(j -1))/ 365/ 100%,&lt;br/&gt;где&lt;br/&gt;j - порядковый номер купонного периода, j=1, 2, 3...10;&lt;br/&gt;НКД – накопленный купонный доход, в рублях;&lt;br/&gt;Nom – непога</w:t>
            </w:r>
            <w:r>
              <w:rPr>
                <w:rFonts w:eastAsia="Times New Roman"/>
              </w:rPr>
              <w:t>шеннная часть номинальной стоимости одной Биржевой облигации, в рублях;&lt;br/&gt;C j - размер процентной ставки j-того купона, в процентах годовых;&lt;br/&gt;T(j -1) - дата начала j-того купонного периода (для случая первого купонного периода Т (j-1) – это дата начал</w:t>
            </w:r>
            <w:r>
              <w:rPr>
                <w:rFonts w:eastAsia="Times New Roman"/>
              </w:rPr>
              <w:t>а размещения Биржевых облигаций);&lt;br/&gt;T - дата расчета накопленного купонного дохода внутри j –купонного периода.&lt;br/&gt;Величина накопленного купонного дохода рассчитывается с точностью до одной копейки. (Округление производится по правилам математического о</w:t>
            </w:r>
            <w:r>
              <w:rPr>
                <w:rFonts w:eastAsia="Times New Roman"/>
              </w:rPr>
              <w:t>кругления. При этом под правилом математического округления следует понимать метод округления, при котором значение целой копейки (целых копеек) не изменяется, если первая за округляемой цифра равна от 0 до 4, и изменяется, увеличиваясь на единицу, если пе</w:t>
            </w:r>
            <w:r>
              <w:rPr>
                <w:rFonts w:eastAsia="Times New Roman"/>
              </w:rPr>
              <w:t xml:space="preserve">рвая за округляемой цифра равна 5 - 9).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ноября 2019 г. по 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</w:t>
            </w:r>
            <w:r>
              <w:rPr>
                <w:rFonts w:eastAsia="Times New Roman"/>
              </w:rPr>
              <w:t>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16.11.2018 ставки купона по Облигациям с 7-го по 8-й купонные периоды. Дата возникновения права требования досрочного приобретения Облигаций: 19.11.2019. Дата прекращения права требования досрочного приобретения Облигаций: 25.11.2019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823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</w:tbl>
    <w:p w:rsidR="00000000" w:rsidRDefault="00823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30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F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3FB7">
      <w:pPr>
        <w:rPr>
          <w:rFonts w:eastAsia="Times New Roman"/>
        </w:rPr>
      </w:pPr>
    </w:p>
    <w:p w:rsidR="00000000" w:rsidRDefault="00823FB7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3FB7">
      <w:pPr>
        <w:pStyle w:val="a3"/>
      </w:pPr>
      <w:r>
        <w:t>13.6. Об исполнении обязанности по выплате денежных средств для досрочного погашения или приобретения облигаций их эмитентом.</w:t>
      </w:r>
    </w:p>
    <w:p w:rsidR="00000000" w:rsidRDefault="00823F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3F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23FB7" w:rsidRDefault="00823FB7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5A24"/>
    <w:rsid w:val="00365A24"/>
    <w:rsid w:val="008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06AC96-B1B9-49A5-8545-AB3CEA2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1e5b4f526c4437b59b8e67204e9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2019-11-29T04:19:00Z</dcterms:created>
  <dcterms:modified xsi:type="dcterms:W3CDTF">2019-11-29T04:19:00Z</dcterms:modified>
</cp:coreProperties>
</file>