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0AD4">
      <w:pPr>
        <w:pStyle w:val="a3"/>
        <w:divId w:val="104224406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42244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22594854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</w:p>
        </w:tc>
      </w:tr>
      <w:tr w:rsidR="00000000">
        <w:trPr>
          <w:divId w:val="1042244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</w:p>
        </w:tc>
      </w:tr>
      <w:tr w:rsidR="00000000">
        <w:trPr>
          <w:divId w:val="1042244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2244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0AD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A10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281333X5900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10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10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1"/>
        <w:gridCol w:w="73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согласии на совершение сделок, в совершении которых имеется заинтересованность, заключаемых между Газпромбанк (АО) и Обществом.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1.1. Принять решение о согласии на совершение сделки, в совершении которой им</w:t>
            </w:r>
            <w:r>
              <w:rPr>
                <w:rFonts w:eastAsia="Times New Roman"/>
              </w:rPr>
              <w:t>еется заинтересованность в виде заключения Дополнительного соглашения №3 к Договору поручительства №84-85/13-В-П-2 от 18 июня 2013 года (далее – «Договор поручительства»), (далее – «Дополнительное соглашение к Договору поручительства»), заключаемое между «</w:t>
            </w:r>
            <w:r>
              <w:rPr>
                <w:rFonts w:eastAsia="Times New Roman"/>
              </w:rPr>
              <w:t>Газпромбанк» (Акционерное общество) и Публичным акционерным обществом «Мечел» на следующих существенных условиях: Стороны сделки: - Публичное акционерное общество «Мечел», именуемое в дальнейшем «Поручитель», - «Газпромбанк» (Акционерное общество), именуем</w:t>
            </w:r>
            <w:r>
              <w:rPr>
                <w:rFonts w:eastAsia="Times New Roman"/>
              </w:rPr>
              <w:t>ое в дальнейшем «Кредитор» или «Банк» Выгодоприобретатели: - Публичное акционерное общество «Угольная компания «Южный Кузбасс» (ПАО «Южный Кузбасс») - Акционерное общество холдинговая компания « Якутуголь» (АО ХК «Якутуголь»), далее каждое именуется «Должн</w:t>
            </w:r>
            <w:r>
              <w:rPr>
                <w:rFonts w:eastAsia="Times New Roman"/>
              </w:rPr>
              <w:t xml:space="preserve">ик» и совместно именуются «Должники». Лицо (лица), имеющие заинтересованность в совершении сделки: Член Совета директоров ПАО «Мечел» Зюзин И.В., Член Правления ПАО «Мечел» 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1.2. Принять решение о согласии на совершение сделки, в совершении которой имеется заинтересованность в виде заключения Договора залога акций (далее – «Договор») между «Газпромбанк» (Акционерное общество), именуемым в дальнейшем «Залогодержатель»</w:t>
            </w:r>
            <w:r>
              <w:rPr>
                <w:rFonts w:eastAsia="Times New Roman"/>
              </w:rPr>
              <w:t>, «Кредитор» или «Банк» и Публичным акционерным обществом «Мечел», именуемым в дальнейшем «Залогодатель» или «Компания», на следующих существенных условиях: Стороны сделки: - «Газпромбанк» (Акционерное общество), именуемый в дальнейшем «Залогодержатель», «</w:t>
            </w:r>
            <w:r>
              <w:rPr>
                <w:rFonts w:eastAsia="Times New Roman"/>
              </w:rPr>
              <w:t>Кредитор» или «Банк»; Публичное акционерное общество «Мечел», именуемое в дальнейшем «Залогодатель» или «Компания» Выгодоприобретатели: Акционерное общество Холдинговая компания «Якутуголь» (АО ХК «Якутуголь») Публичное акционерное общество «Южный Кузбасс»</w:t>
            </w:r>
            <w:r>
              <w:rPr>
                <w:rFonts w:eastAsia="Times New Roman"/>
              </w:rPr>
              <w:t xml:space="preserve"> (ПАО «Южный Кузбасс») Акционерное общество «Торговый порт Посьет» (АО «Торговый порт Посьет») Публичное акционерное общество «Уральская кузница» (ПАО «Уралкуз») Публичное акционерное общество «Челябинский металлургический комбинат» (ПАО «ЧМК») Акционерно 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10A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0AD4">
      <w:pPr>
        <w:rPr>
          <w:rFonts w:eastAsia="Times New Roman"/>
        </w:rPr>
      </w:pPr>
    </w:p>
    <w:p w:rsidR="00000000" w:rsidRDefault="00A10A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0AD4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сделок, в совершении которых имеется заинтересованность, заключаемых между Газпромбанк (АО) и Обществом. </w:t>
      </w:r>
    </w:p>
    <w:p w:rsidR="00000000" w:rsidRDefault="00A10AD4">
      <w:pPr>
        <w:pStyle w:val="a3"/>
      </w:pPr>
      <w:r>
        <w:t>Направляем Вам поступивший в НКО АО НРД электронный докуме</w:t>
      </w:r>
      <w:r>
        <w:t>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</w:t>
      </w:r>
      <w:r>
        <w:t>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10A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A10AD4" w:rsidRDefault="00A10AD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rPr>
          <w:rFonts w:eastAsia="Times New Roman"/>
        </w:rPr>
        <w:t>495) 956-27-90, (495) 956-27-91</w:t>
      </w:r>
      <w:r>
        <w:rPr>
          <w:rFonts w:eastAsia="Times New Roman"/>
        </w:rPr>
        <w:t xml:space="preserve"> </w:t>
      </w:r>
    </w:p>
    <w:sectPr w:rsidR="00A1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4314"/>
    <w:rsid w:val="005B4314"/>
    <w:rsid w:val="00A1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41ae02b1124ab38ccbcbf79e9e42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2017-04-27T04:54:00Z</dcterms:created>
  <dcterms:modified xsi:type="dcterms:W3CDTF">2017-04-27T04:54:00Z</dcterms:modified>
</cp:coreProperties>
</file>