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92A">
      <w:pPr>
        <w:pStyle w:val="a3"/>
        <w:divId w:val="202034647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034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28453592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</w:p>
        </w:tc>
      </w:tr>
      <w:tr w:rsidR="00000000">
        <w:trPr>
          <w:divId w:val="202034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</w:p>
        </w:tc>
      </w:tr>
      <w:tr w:rsidR="00000000">
        <w:trPr>
          <w:divId w:val="202034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28082147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</w:p>
        </w:tc>
      </w:tr>
      <w:tr w:rsidR="00000000">
        <w:trPr>
          <w:divId w:val="202034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034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092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700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348454X17717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00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0092A">
      <w:pPr>
        <w:rPr>
          <w:rFonts w:eastAsia="Times New Roman"/>
        </w:rPr>
      </w:pPr>
    </w:p>
    <w:p w:rsidR="00000000" w:rsidRDefault="007009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092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3. Распределение прибыли, в том числе выплата (объявление) дивидендов, и убытков Общества по результатам 2017 финансового года.</w:t>
      </w:r>
      <w:r>
        <w:rPr>
          <w:rFonts w:eastAsia="Times New Roman"/>
        </w:rPr>
        <w:br/>
        <w:t>4. Избрание Совета директоров Общества.</w:t>
      </w:r>
      <w:r>
        <w:rPr>
          <w:rFonts w:eastAsia="Times New Roman"/>
        </w:rPr>
        <w:br/>
        <w:t>5. Ут</w:t>
      </w:r>
      <w:r>
        <w:rPr>
          <w:rFonts w:eastAsia="Times New Roman"/>
        </w:rPr>
        <w:t>верждение количественного состава Правления Общества и избрание Правления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 xml:space="preserve">7. Избрание Ревизионной комиссии Общества. </w:t>
      </w:r>
    </w:p>
    <w:p w:rsidR="00000000" w:rsidRDefault="0070092A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70092A">
      <w:pPr>
        <w:pStyle w:val="a3"/>
      </w:pPr>
      <w:r>
        <w:t>4.2. Информация о созыве общего собрания акционеров эмитента.</w:t>
      </w:r>
    </w:p>
    <w:p w:rsidR="00000000" w:rsidRDefault="0070092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009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0092A" w:rsidRDefault="0070092A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0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0456B"/>
    <w:rsid w:val="0060456B"/>
    <w:rsid w:val="0070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718ba7d102441fb921c2f5920bb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2018-06-05T05:24:00Z</dcterms:created>
  <dcterms:modified xsi:type="dcterms:W3CDTF">2018-06-05T05:24:00Z</dcterms:modified>
</cp:coreProperties>
</file>