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7C28">
      <w:pPr>
        <w:pStyle w:val="a3"/>
        <w:divId w:val="18956555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65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80091037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</w:tr>
      <w:tr w:rsidR="00000000">
        <w:trPr>
          <w:divId w:val="189565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</w:tr>
      <w:tr w:rsidR="00000000">
        <w:trPr>
          <w:divId w:val="189565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79112386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</w:tr>
      <w:tr w:rsidR="00000000">
        <w:trPr>
          <w:divId w:val="189565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655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7C2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7C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A7C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</w:tr>
    </w:tbl>
    <w:p w:rsidR="00000000" w:rsidRDefault="00AA7C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7C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2022 год в соответствии с Приложением 1 и годовую бухгалтерскую (финансовую) отчетность Общества за 2022 год в </w:t>
            </w:r>
            <w:r>
              <w:rPr>
                <w:rFonts w:eastAsia="Times New Roman"/>
              </w:rPr>
              <w:lastRenderedPageBreak/>
              <w:t>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>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89419482087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42507</w:t>
            </w:r>
            <w:r>
              <w:rPr>
                <w:rFonts w:eastAsia="Times New Roman"/>
              </w:rPr>
              <w:br/>
              <w:t>Воздержался: 396210</w:t>
            </w:r>
            <w:r>
              <w:rPr>
                <w:rFonts w:eastAsia="Times New Roman"/>
              </w:rPr>
              <w:br/>
              <w:t>Не участвовало: 987752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за 20</w:t>
            </w:r>
            <w:r>
              <w:rPr>
                <w:rFonts w:eastAsia="Times New Roman"/>
              </w:rPr>
              <w:t>22 год: (тыс. руб.) Нераспределенная прибыль (убыток) отчетного периода: 12 094 131 в том числе: - резервный фонд 0 - дивиденды 6 413 964 - оставить в распоряжении Общества 5 680 167 2. Выплатить дивиденды по обыкновенным акциям Общества по результатам 202</w:t>
            </w:r>
            <w:r>
              <w:rPr>
                <w:rFonts w:eastAsia="Times New Roman"/>
              </w:rPr>
              <w:t>2 года в размере 0,0580758473514 рубля на одну обыкновенную акцию Общества в денежной форме в порядке и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</w:t>
            </w:r>
            <w:r>
              <w:rPr>
                <w:rFonts w:eastAsia="Times New Roman"/>
              </w:rPr>
              <w:t>дов по обыкновенным акциям Общества по результатам 2022 года – «10» июля 2023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89419641439</w:t>
            </w:r>
            <w:r>
              <w:rPr>
                <w:rFonts w:eastAsia="Times New Roman"/>
              </w:rPr>
              <w:br/>
              <w:t>Против: 27250</w:t>
            </w:r>
            <w:r>
              <w:rPr>
                <w:rFonts w:eastAsia="Times New Roman"/>
              </w:rPr>
              <w:br/>
              <w:t>Воздержался: 254784</w:t>
            </w:r>
            <w:r>
              <w:rPr>
                <w:rFonts w:eastAsia="Times New Roman"/>
              </w:rPr>
              <w:br/>
              <w:t>Не участвовало: 985090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89418085283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651133</w:t>
            </w:r>
            <w:r>
              <w:rPr>
                <w:rFonts w:eastAsia="Times New Roman"/>
              </w:rPr>
              <w:br/>
              <w:t>Воздержался: 1187157</w:t>
            </w:r>
            <w:r>
              <w:rPr>
                <w:rFonts w:eastAsia="Times New Roman"/>
              </w:rPr>
              <w:br/>
              <w:t>Не участвовало: 985090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89418725752</w:t>
            </w:r>
            <w:r>
              <w:rPr>
                <w:rFonts w:eastAsia="Times New Roman"/>
              </w:rPr>
              <w:br/>
              <w:t>Против: 643416</w:t>
            </w:r>
            <w:r>
              <w:rPr>
                <w:rFonts w:eastAsia="Times New Roman"/>
              </w:rPr>
              <w:br/>
              <w:t>Воздержался: 554256</w:t>
            </w:r>
            <w:r>
              <w:rPr>
                <w:rFonts w:eastAsia="Times New Roman"/>
              </w:rPr>
              <w:br/>
              <w:t>Не участвовало: 985129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89418719906</w:t>
            </w:r>
            <w:r>
              <w:rPr>
                <w:rFonts w:eastAsia="Times New Roman"/>
              </w:rPr>
              <w:br/>
              <w:t>Против: 620673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598847</w:t>
            </w:r>
            <w:r>
              <w:rPr>
                <w:rFonts w:eastAsia="Times New Roman"/>
              </w:rPr>
              <w:br/>
              <w:t>Не участвовало: 975047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89418644243</w:t>
            </w:r>
            <w:r>
              <w:rPr>
                <w:rFonts w:eastAsia="Times New Roman"/>
              </w:rPr>
              <w:br/>
              <w:t>Против: 624152</w:t>
            </w:r>
            <w:r>
              <w:rPr>
                <w:rFonts w:eastAsia="Times New Roman"/>
              </w:rPr>
              <w:br/>
              <w:t>Воздержался: 660988</w:t>
            </w:r>
            <w:r>
              <w:rPr>
                <w:rFonts w:eastAsia="Times New Roman"/>
              </w:rPr>
              <w:br/>
              <w:t>Не участвовало: 985090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Юникон АО (юридический адрес: 117587, г. Москва, Варшавское шоссе, д. 125, строение 1, секция 11, 3 эт., пом. I, ком. 50; ИНН 7716021332, ОГРН 1037739271701, свидетельство о членстве в СРО аудиторов Ассоциация «Содружество» ОРНЗ 12006020340) в ка</w:t>
            </w:r>
            <w:r>
              <w:rPr>
                <w:rFonts w:eastAsia="Times New Roman"/>
              </w:rPr>
              <w:t>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2023 год, консолидированной финансовой отчетности Группы ОГК-2 по международным стандартам финансовой отчет</w:t>
            </w:r>
            <w:r>
              <w:rPr>
                <w:rFonts w:eastAsia="Times New Roman"/>
              </w:rPr>
              <w:t>ности за 2023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89419114533</w:t>
            </w:r>
            <w:r>
              <w:rPr>
                <w:rFonts w:eastAsia="Times New Roman"/>
              </w:rPr>
              <w:br/>
              <w:t>Против: 345410</w:t>
            </w:r>
            <w:r>
              <w:rPr>
                <w:rFonts w:eastAsia="Times New Roman"/>
              </w:rPr>
              <w:br/>
              <w:t>Воздержался: 454830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999700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дополнительное вознаграждение членам Совета директоров, избранным решением годового Общего собрания акционеров ПАО «ОГК-2» 29.06.2022, в общем размере 0,2274% (ноль целых две тысячи двести семьдесят четы</w:t>
            </w:r>
            <w:r>
              <w:rPr>
                <w:rFonts w:eastAsia="Times New Roman"/>
              </w:rPr>
              <w:t>ре десятитысячных процента) чистой прибыли ПАО «ОГК-2», полученной по итогам деятельности в 2022 году, определяемой по российским стандартам бухгалтерского учета. Определить, что общая сумма дополнительного вознаграждения распределяется между членами Совет</w:t>
            </w:r>
            <w:r>
              <w:rPr>
                <w:rFonts w:eastAsia="Times New Roman"/>
              </w:rPr>
              <w:t>а директоров ПАО «ОГК-2» в равных долях. 2. Отменить действие Положения о порядке определения размера вознаграждений и компенсаций членам Совета директоров Публичного акционерного общества «Вторая генерирующая компания оптового рынка электроэнергии», утвер</w:t>
            </w:r>
            <w:r>
              <w:rPr>
                <w:rFonts w:eastAsia="Times New Roman"/>
              </w:rPr>
              <w:t>жденного годовым Общим собранием акционеров 29.06.2022 (протокол № 16 от 04.07.2022).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C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89417046517</w:t>
            </w:r>
            <w:r>
              <w:rPr>
                <w:rFonts w:eastAsia="Times New Roman"/>
              </w:rPr>
              <w:br/>
              <w:t>Против: 2018224</w:t>
            </w:r>
            <w:r>
              <w:rPr>
                <w:rFonts w:eastAsia="Times New Roman"/>
              </w:rPr>
              <w:br/>
              <w:t>Воздержался: 861495</w:t>
            </w:r>
            <w:r>
              <w:rPr>
                <w:rFonts w:eastAsia="Times New Roman"/>
              </w:rPr>
              <w:br/>
              <w:t>Не участвовало: 988237</w:t>
            </w:r>
          </w:p>
        </w:tc>
      </w:tr>
    </w:tbl>
    <w:p w:rsidR="00000000" w:rsidRDefault="00AA7C28">
      <w:pPr>
        <w:rPr>
          <w:rFonts w:eastAsia="Times New Roman"/>
        </w:rPr>
      </w:pPr>
    </w:p>
    <w:p w:rsidR="00000000" w:rsidRDefault="00AA7C2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A7C28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AA7C28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AA7C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AA7C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A7C28">
      <w:pPr>
        <w:rPr>
          <w:rFonts w:eastAsia="Times New Roman"/>
        </w:rPr>
      </w:pPr>
      <w:r>
        <w:rPr>
          <w:rFonts w:eastAsia="Times New Roman"/>
        </w:rPr>
        <w:br/>
      </w:r>
    </w:p>
    <w:p w:rsidR="00AA7C28" w:rsidRDefault="00AA7C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6C6B"/>
    <w:rsid w:val="00566C6B"/>
    <w:rsid w:val="00A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45A62D-FA3B-4401-B0E6-740E8578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f05bf847d64ebbb40d7035984d3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2023-07-03T05:10:00Z</dcterms:created>
  <dcterms:modified xsi:type="dcterms:W3CDTF">2023-07-03T05:10:00Z</dcterms:modified>
</cp:coreProperties>
</file>