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162E">
      <w:pPr>
        <w:pStyle w:val="a3"/>
        <w:divId w:val="7825736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82573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31481667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</w:p>
        </w:tc>
      </w:tr>
      <w:tr w:rsidR="00000000">
        <w:trPr>
          <w:divId w:val="782573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</w:p>
        </w:tc>
      </w:tr>
      <w:tr w:rsidR="00000000">
        <w:trPr>
          <w:divId w:val="782573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30867584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</w:p>
        </w:tc>
      </w:tr>
      <w:tr w:rsidR="00000000">
        <w:trPr>
          <w:divId w:val="782573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2573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16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</w:tbl>
    <w:p w:rsidR="00000000" w:rsidRDefault="007E1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E1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E16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6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6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</w:tbl>
    <w:p w:rsidR="00000000" w:rsidRDefault="007E162E">
      <w:pPr>
        <w:rPr>
          <w:rFonts w:eastAsia="Times New Roman"/>
        </w:rPr>
      </w:pPr>
    </w:p>
    <w:p w:rsidR="00000000" w:rsidRDefault="007E16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162E">
      <w:pPr>
        <w:pStyle w:val="a3"/>
      </w:pPr>
      <w:r>
        <w:t>9.4. Информация об объявлении дивидендов по акциям.</w:t>
      </w:r>
    </w:p>
    <w:p w:rsidR="00000000" w:rsidRDefault="007E162E">
      <w:pPr>
        <w:pStyle w:val="a3"/>
      </w:pPr>
      <w:r>
        <w:t xml:space="preserve">Срок выплаты дивидендов </w:t>
      </w:r>
      <w:r>
        <w:t>лицам, зарегистрированным в реестре акционеров – не позднее 11 февраля 2019 года.</w:t>
      </w:r>
    </w:p>
    <w:p w:rsidR="00000000" w:rsidRDefault="007E16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7E162E" w:rsidRDefault="007E16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sectPr w:rsidR="007E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22EB"/>
    <w:rsid w:val="007E162E"/>
    <w:rsid w:val="007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2faa1883d44f99d6ea50d4234b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2018-12-21T04:33:00Z</dcterms:created>
  <dcterms:modified xsi:type="dcterms:W3CDTF">2018-12-21T04:33:00Z</dcterms:modified>
</cp:coreProperties>
</file>